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4DE8" w:rsidRPr="001B3F7F" w:rsidRDefault="00A64DE8" w:rsidP="00F56D80">
      <w:pPr>
        <w:pStyle w:val="Corpodetexto"/>
        <w:spacing w:line="276" w:lineRule="auto"/>
        <w:ind w:firstLine="1134"/>
        <w:rPr>
          <w:rFonts w:ascii="Arial" w:hAnsi="Arial" w:cs="Arial"/>
          <w:b/>
          <w:sz w:val="24"/>
          <w:szCs w:val="24"/>
          <w:lang/>
        </w:rPr>
      </w:pPr>
      <w:r w:rsidRPr="001B3F7F">
        <w:rPr>
          <w:rFonts w:ascii="Arial" w:hAnsi="Arial" w:cs="Arial"/>
          <w:b/>
          <w:sz w:val="24"/>
          <w:szCs w:val="24"/>
          <w:lang/>
        </w:rPr>
        <w:t xml:space="preserve">                                NOTA EXPLICATIVA</w:t>
      </w:r>
    </w:p>
    <w:p w:rsidR="00A64DE8" w:rsidRPr="001B3F7F" w:rsidRDefault="00A64DE8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  <w:lang/>
        </w:rPr>
      </w:pPr>
    </w:p>
    <w:p w:rsidR="006478AC" w:rsidRPr="00057883" w:rsidRDefault="006C7FF5" w:rsidP="00B00814">
      <w:pPr>
        <w:pStyle w:val="Corpodetexto"/>
        <w:spacing w:after="120" w:line="276" w:lineRule="auto"/>
        <w:ind w:firstLine="1134"/>
        <w:rPr>
          <w:rFonts w:ascii="Arial" w:hAnsi="Arial" w:cs="Arial"/>
          <w:sz w:val="24"/>
          <w:szCs w:val="24"/>
          <w:lang/>
        </w:rPr>
      </w:pPr>
      <w:r w:rsidRPr="001B3F7F">
        <w:rPr>
          <w:rFonts w:ascii="Arial" w:hAnsi="Arial" w:cs="Arial"/>
          <w:sz w:val="24"/>
          <w:szCs w:val="24"/>
          <w:lang/>
        </w:rPr>
        <w:t xml:space="preserve">A </w:t>
      </w:r>
      <w:r w:rsidR="006478AC" w:rsidRPr="001B3F7F">
        <w:rPr>
          <w:rFonts w:ascii="Arial" w:hAnsi="Arial" w:cs="Arial"/>
          <w:sz w:val="24"/>
          <w:szCs w:val="24"/>
          <w:lang/>
        </w:rPr>
        <w:t>presente NOTA EXPLICATIVA tem por propósito apresentar o entendimento demonstrado nas planilhas do Relatório Resumido da Execução Orçamentária – RREO</w:t>
      </w:r>
      <w:r w:rsidR="00375EE0">
        <w:rPr>
          <w:rFonts w:ascii="Arial" w:hAnsi="Arial" w:cs="Arial"/>
          <w:sz w:val="24"/>
          <w:szCs w:val="24"/>
          <w:lang/>
        </w:rPr>
        <w:t xml:space="preserve"> do 6º bimestre de 2019</w:t>
      </w:r>
      <w:r w:rsidR="006478AC" w:rsidRPr="001B3F7F">
        <w:rPr>
          <w:rFonts w:ascii="Arial" w:hAnsi="Arial" w:cs="Arial"/>
          <w:sz w:val="24"/>
          <w:szCs w:val="24"/>
          <w:lang/>
        </w:rPr>
        <w:t>, com fundamento no artigo 53</w:t>
      </w:r>
      <w:r w:rsidR="00F56D80" w:rsidRPr="001B3F7F">
        <w:rPr>
          <w:rFonts w:ascii="Arial" w:hAnsi="Arial" w:cs="Arial"/>
          <w:sz w:val="24"/>
          <w:szCs w:val="24"/>
          <w:lang/>
        </w:rPr>
        <w:t xml:space="preserve"> da Lei nº 101, de 04/05/2000 (Lei de Responsabilidade Fiscal), em seus </w:t>
      </w:r>
      <w:r w:rsidR="00F56D80" w:rsidRPr="00A5558D">
        <w:rPr>
          <w:rFonts w:ascii="Arial" w:hAnsi="Arial" w:cs="Arial"/>
          <w:b/>
          <w:sz w:val="24"/>
          <w:szCs w:val="24"/>
          <w:lang/>
        </w:rPr>
        <w:t xml:space="preserve">ANEXOS </w:t>
      </w:r>
      <w:r w:rsidR="00E657CD">
        <w:rPr>
          <w:rFonts w:ascii="Arial" w:hAnsi="Arial" w:cs="Arial"/>
          <w:b/>
          <w:sz w:val="24"/>
          <w:szCs w:val="24"/>
          <w:lang/>
        </w:rPr>
        <w:t xml:space="preserve">01, </w:t>
      </w:r>
      <w:r w:rsidR="00057883">
        <w:rPr>
          <w:rFonts w:ascii="Arial" w:hAnsi="Arial" w:cs="Arial"/>
          <w:b/>
          <w:sz w:val="24"/>
          <w:szCs w:val="24"/>
          <w:lang/>
        </w:rPr>
        <w:t xml:space="preserve">02, </w:t>
      </w:r>
      <w:r w:rsidR="00AB0707">
        <w:rPr>
          <w:rFonts w:ascii="Arial" w:hAnsi="Arial" w:cs="Arial"/>
          <w:b/>
          <w:sz w:val="24"/>
          <w:szCs w:val="24"/>
          <w:lang/>
        </w:rPr>
        <w:t>04</w:t>
      </w:r>
      <w:r w:rsidR="00057883">
        <w:rPr>
          <w:rFonts w:ascii="Arial" w:hAnsi="Arial" w:cs="Arial"/>
          <w:b/>
          <w:sz w:val="24"/>
          <w:szCs w:val="24"/>
          <w:lang/>
        </w:rPr>
        <w:t xml:space="preserve">, </w:t>
      </w:r>
      <w:r w:rsidR="00B7468B">
        <w:rPr>
          <w:rFonts w:ascii="Arial" w:hAnsi="Arial" w:cs="Arial"/>
          <w:b/>
          <w:sz w:val="24"/>
          <w:szCs w:val="24"/>
          <w:lang/>
        </w:rPr>
        <w:t>06,</w:t>
      </w:r>
      <w:r w:rsidR="00E657CD">
        <w:rPr>
          <w:rFonts w:ascii="Arial" w:hAnsi="Arial" w:cs="Arial"/>
          <w:b/>
          <w:sz w:val="24"/>
          <w:szCs w:val="24"/>
          <w:lang/>
        </w:rPr>
        <w:t xml:space="preserve"> 08</w:t>
      </w:r>
      <w:r w:rsidR="00057883">
        <w:rPr>
          <w:rFonts w:ascii="Arial" w:hAnsi="Arial" w:cs="Arial"/>
          <w:b/>
          <w:sz w:val="24"/>
          <w:szCs w:val="24"/>
          <w:lang/>
        </w:rPr>
        <w:t>,</w:t>
      </w:r>
      <w:r w:rsidR="00B7468B">
        <w:rPr>
          <w:rFonts w:ascii="Arial" w:hAnsi="Arial" w:cs="Arial"/>
          <w:b/>
          <w:sz w:val="24"/>
          <w:szCs w:val="24"/>
          <w:lang/>
        </w:rPr>
        <w:t xml:space="preserve"> 12</w:t>
      </w:r>
      <w:r w:rsidR="00057883">
        <w:rPr>
          <w:rFonts w:ascii="Arial" w:hAnsi="Arial" w:cs="Arial"/>
          <w:b/>
          <w:sz w:val="24"/>
          <w:szCs w:val="24"/>
          <w:lang/>
        </w:rPr>
        <w:t xml:space="preserve"> e 13</w:t>
      </w:r>
      <w:r w:rsidR="00057883">
        <w:rPr>
          <w:rFonts w:ascii="Arial" w:hAnsi="Arial" w:cs="Arial"/>
          <w:sz w:val="24"/>
          <w:szCs w:val="24"/>
          <w:lang/>
        </w:rPr>
        <w:t>.</w:t>
      </w:r>
    </w:p>
    <w:p w:rsidR="00F56D80" w:rsidRPr="001B3F7F" w:rsidRDefault="00F56D80" w:rsidP="00B00814">
      <w:pPr>
        <w:pStyle w:val="Corpodetexto"/>
        <w:spacing w:after="120" w:line="276" w:lineRule="auto"/>
        <w:ind w:firstLine="1134"/>
        <w:rPr>
          <w:rFonts w:ascii="Arial" w:hAnsi="Arial" w:cs="Arial"/>
          <w:sz w:val="24"/>
          <w:szCs w:val="24"/>
          <w:lang/>
        </w:rPr>
      </w:pPr>
      <w:r w:rsidRPr="001B3F7F">
        <w:rPr>
          <w:rFonts w:ascii="Arial" w:hAnsi="Arial" w:cs="Arial"/>
          <w:sz w:val="24"/>
          <w:szCs w:val="24"/>
          <w:lang/>
        </w:rPr>
        <w:t xml:space="preserve">Para tanto, passaremos a análise de cada um </w:t>
      </w:r>
      <w:r w:rsidRPr="001B3F7F">
        <w:rPr>
          <w:rFonts w:ascii="Arial" w:hAnsi="Arial" w:cs="Arial"/>
          <w:i/>
          <w:sz w:val="24"/>
          <w:szCs w:val="24"/>
          <w:lang/>
        </w:rPr>
        <w:t>per si</w:t>
      </w:r>
      <w:r w:rsidR="00782611">
        <w:rPr>
          <w:rFonts w:ascii="Arial" w:hAnsi="Arial" w:cs="Arial"/>
          <w:sz w:val="24"/>
          <w:szCs w:val="24"/>
          <w:lang/>
        </w:rPr>
        <w:t>, conforme adiante.</w:t>
      </w:r>
    </w:p>
    <w:p w:rsidR="006478AC" w:rsidRPr="001B3F7F" w:rsidRDefault="006478AC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  <w:lang/>
        </w:rPr>
      </w:pPr>
    </w:p>
    <w:p w:rsidR="00F56D80" w:rsidRPr="001B3F7F" w:rsidRDefault="00F56D80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  <w:lang/>
        </w:rPr>
      </w:pPr>
    </w:p>
    <w:p w:rsidR="00F56D80" w:rsidRPr="001B3F7F" w:rsidRDefault="00F56D80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  <w:lang/>
        </w:rPr>
      </w:pPr>
    </w:p>
    <w:p w:rsidR="00F56D80" w:rsidRPr="001B3F7F" w:rsidRDefault="00F56D80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  <w:lang/>
        </w:rPr>
      </w:pPr>
    </w:p>
    <w:p w:rsidR="00F56D80" w:rsidRPr="001B3F7F" w:rsidRDefault="00F56D80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  <w:lang/>
        </w:rPr>
      </w:pPr>
    </w:p>
    <w:p w:rsidR="00F56D80" w:rsidRPr="001B3F7F" w:rsidRDefault="00F56D80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  <w:lang/>
        </w:rPr>
      </w:pPr>
    </w:p>
    <w:p w:rsidR="00F56D80" w:rsidRPr="001B3F7F" w:rsidRDefault="00F56D80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  <w:lang/>
        </w:rPr>
      </w:pPr>
    </w:p>
    <w:p w:rsidR="00F56D80" w:rsidRPr="001B3F7F" w:rsidRDefault="00F56D80" w:rsidP="00DE4C12">
      <w:pPr>
        <w:pStyle w:val="Corpodetexto"/>
        <w:ind w:firstLine="1134"/>
        <w:rPr>
          <w:rFonts w:ascii="Arial" w:hAnsi="Arial" w:cs="Arial"/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rFonts w:ascii="Arial" w:hAnsi="Arial" w:cs="Arial"/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rFonts w:ascii="Arial" w:hAnsi="Arial" w:cs="Arial"/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rFonts w:ascii="Arial" w:hAnsi="Arial" w:cs="Arial"/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rFonts w:ascii="Arial" w:hAnsi="Arial" w:cs="Arial"/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rFonts w:ascii="Arial" w:hAnsi="Arial" w:cs="Arial"/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rFonts w:ascii="Arial" w:hAnsi="Arial" w:cs="Arial"/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rFonts w:ascii="Arial" w:hAnsi="Arial" w:cs="Arial"/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A87A94" w:rsidRPr="001B3F7F" w:rsidRDefault="00A87A94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Default="00A64DE8" w:rsidP="00DE4C12">
      <w:pPr>
        <w:pStyle w:val="Corpodetexto"/>
        <w:ind w:firstLine="1134"/>
        <w:rPr>
          <w:sz w:val="24"/>
          <w:szCs w:val="24"/>
          <w:lang/>
        </w:rPr>
      </w:pPr>
    </w:p>
    <w:p w:rsidR="00363CE8" w:rsidRDefault="00363CE8" w:rsidP="00DE4C12">
      <w:pPr>
        <w:pStyle w:val="Corpodetexto"/>
        <w:ind w:firstLine="1134"/>
        <w:rPr>
          <w:sz w:val="24"/>
          <w:szCs w:val="24"/>
          <w:lang/>
        </w:rPr>
      </w:pPr>
    </w:p>
    <w:p w:rsidR="00A64DE8" w:rsidRPr="001B3F7F" w:rsidRDefault="00A64DE8" w:rsidP="00E065F1">
      <w:pPr>
        <w:pStyle w:val="Corpodetexto"/>
        <w:spacing w:line="360" w:lineRule="auto"/>
        <w:rPr>
          <w:sz w:val="24"/>
          <w:szCs w:val="24"/>
          <w:lang/>
        </w:rPr>
      </w:pPr>
    </w:p>
    <w:p w:rsidR="007101A1" w:rsidRPr="001B3F7F" w:rsidRDefault="007101A1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1</w:t>
      </w:r>
      <w:r w:rsidRPr="001B3F7F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Balanço Orçamentário:</w:t>
      </w:r>
    </w:p>
    <w:p w:rsidR="007101A1" w:rsidRDefault="007101A1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553E7" w:rsidRDefault="00FD7675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01 (fl. 02 – Transferências Correntes)</w:t>
      </w:r>
      <w:r>
        <w:rPr>
          <w:rFonts w:ascii="Arial" w:hAnsi="Arial" w:cs="Arial"/>
          <w:sz w:val="24"/>
          <w:szCs w:val="24"/>
        </w:rPr>
        <w:t xml:space="preserve">: </w:t>
      </w:r>
      <w:r w:rsidR="00E90402">
        <w:rPr>
          <w:rFonts w:ascii="Arial" w:hAnsi="Arial" w:cs="Arial"/>
          <w:sz w:val="24"/>
          <w:szCs w:val="24"/>
        </w:rPr>
        <w:t xml:space="preserve">O aumento </w:t>
      </w:r>
      <w:r w:rsidR="009B075C">
        <w:rPr>
          <w:rFonts w:ascii="Arial" w:hAnsi="Arial" w:cs="Arial"/>
          <w:sz w:val="24"/>
          <w:szCs w:val="24"/>
        </w:rPr>
        <w:t>da</w:t>
      </w:r>
      <w:r w:rsidR="00E90402">
        <w:rPr>
          <w:rFonts w:ascii="Arial" w:hAnsi="Arial" w:cs="Arial"/>
          <w:sz w:val="24"/>
          <w:szCs w:val="24"/>
        </w:rPr>
        <w:t>s transferências correntes se de</w:t>
      </w:r>
      <w:r w:rsidR="003D598C">
        <w:rPr>
          <w:rFonts w:ascii="Arial" w:hAnsi="Arial" w:cs="Arial"/>
          <w:sz w:val="24"/>
          <w:szCs w:val="24"/>
        </w:rPr>
        <w:t xml:space="preserve">u por conta de diversos fatores, </w:t>
      </w:r>
      <w:r w:rsidR="008C1052">
        <w:rPr>
          <w:rFonts w:ascii="Arial" w:hAnsi="Arial" w:cs="Arial"/>
          <w:sz w:val="24"/>
          <w:szCs w:val="24"/>
        </w:rPr>
        <w:t>dentre os quais se destaca</w:t>
      </w:r>
      <w:r w:rsidR="007D655E">
        <w:rPr>
          <w:rFonts w:ascii="Arial" w:hAnsi="Arial" w:cs="Arial"/>
          <w:sz w:val="24"/>
          <w:szCs w:val="24"/>
        </w:rPr>
        <w:t xml:space="preserve"> o excesso de arrecadação da União, que culminou no aumento do repasse do FPE ao Estado do Acre, e </w:t>
      </w:r>
      <w:r w:rsidR="00176024">
        <w:rPr>
          <w:rFonts w:ascii="Arial" w:hAnsi="Arial" w:cs="Arial"/>
          <w:sz w:val="24"/>
          <w:szCs w:val="24"/>
        </w:rPr>
        <w:t>a</w:t>
      </w:r>
      <w:r w:rsidR="003D598C">
        <w:rPr>
          <w:rFonts w:ascii="Arial" w:hAnsi="Arial" w:cs="Arial"/>
          <w:sz w:val="24"/>
          <w:szCs w:val="24"/>
        </w:rPr>
        <w:t xml:space="preserve"> cessão onerosa do </w:t>
      </w:r>
      <w:r w:rsidR="00627EF4">
        <w:rPr>
          <w:rFonts w:ascii="Arial" w:hAnsi="Arial" w:cs="Arial"/>
          <w:sz w:val="24"/>
          <w:szCs w:val="24"/>
        </w:rPr>
        <w:t>petróleo</w:t>
      </w:r>
      <w:r w:rsidR="003D598C">
        <w:rPr>
          <w:rFonts w:ascii="Arial" w:hAnsi="Arial" w:cs="Arial"/>
          <w:sz w:val="24"/>
          <w:szCs w:val="24"/>
        </w:rPr>
        <w:t>, que disponibilizou ao Estado R$ 150.582.215,09 (cento e cinquenta milhões quinhentos e oitenta e dois mil duzentos e quinze reais e nov</w:t>
      </w:r>
      <w:r w:rsidR="00743121">
        <w:rPr>
          <w:rFonts w:ascii="Arial" w:hAnsi="Arial" w:cs="Arial"/>
          <w:sz w:val="24"/>
          <w:szCs w:val="24"/>
        </w:rPr>
        <w:t>e centavos)</w:t>
      </w:r>
      <w:r w:rsidR="007D655E">
        <w:rPr>
          <w:rFonts w:ascii="Arial" w:hAnsi="Arial" w:cs="Arial"/>
          <w:sz w:val="24"/>
          <w:szCs w:val="24"/>
        </w:rPr>
        <w:t xml:space="preserve">. </w:t>
      </w:r>
    </w:p>
    <w:p w:rsidR="004553E7" w:rsidRDefault="004553E7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7675" w:rsidRDefault="007D655E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Frisamos que conforme explicado com mais detalhes na nota nº</w:t>
      </w:r>
      <w:r w:rsidR="005B00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do Anexo 5</w:t>
      </w:r>
      <w:r w:rsidR="007F3629">
        <w:rPr>
          <w:rFonts w:ascii="Arial" w:hAnsi="Arial" w:cs="Arial"/>
          <w:sz w:val="24"/>
          <w:szCs w:val="24"/>
        </w:rPr>
        <w:t xml:space="preserve"> da Nota Explicativa do</w:t>
      </w:r>
      <w:r w:rsidR="00084B3D">
        <w:rPr>
          <w:rFonts w:ascii="Arial" w:hAnsi="Arial" w:cs="Arial"/>
          <w:sz w:val="24"/>
          <w:szCs w:val="24"/>
        </w:rPr>
        <w:t xml:space="preserve"> RGF</w:t>
      </w:r>
      <w:r>
        <w:rPr>
          <w:rFonts w:ascii="Arial" w:hAnsi="Arial" w:cs="Arial"/>
          <w:sz w:val="24"/>
          <w:szCs w:val="24"/>
        </w:rPr>
        <w:t xml:space="preserve">, a Lei Federal nº 13.885/2018 </w:t>
      </w:r>
      <w:r w:rsidR="006F5CEA">
        <w:rPr>
          <w:rFonts w:ascii="Arial" w:hAnsi="Arial" w:cs="Arial"/>
          <w:sz w:val="24"/>
          <w:szCs w:val="24"/>
        </w:rPr>
        <w:t>dispôs</w:t>
      </w:r>
      <w:r>
        <w:rPr>
          <w:rFonts w:ascii="Arial" w:hAnsi="Arial" w:cs="Arial"/>
          <w:sz w:val="24"/>
          <w:szCs w:val="24"/>
        </w:rPr>
        <w:t xml:space="preserve"> que os recursos da cessão onerosa do petróleo só pode</w:t>
      </w:r>
      <w:r w:rsidR="006F5CEA">
        <w:rPr>
          <w:rFonts w:ascii="Arial" w:hAnsi="Arial" w:cs="Arial"/>
          <w:sz w:val="24"/>
          <w:szCs w:val="24"/>
        </w:rPr>
        <w:t>riam</w:t>
      </w:r>
      <w:r>
        <w:rPr>
          <w:rFonts w:ascii="Arial" w:hAnsi="Arial" w:cs="Arial"/>
          <w:sz w:val="24"/>
          <w:szCs w:val="24"/>
        </w:rPr>
        <w:t xml:space="preserve"> ser utilizados pelos Estados e Distrito Federal para o pagamento de despesas prev</w:t>
      </w:r>
      <w:r w:rsidR="0022567E">
        <w:rPr>
          <w:rFonts w:ascii="Arial" w:hAnsi="Arial" w:cs="Arial"/>
          <w:sz w:val="24"/>
          <w:szCs w:val="24"/>
        </w:rPr>
        <w:t xml:space="preserve">idenciárias ou em investimentos </w:t>
      </w:r>
      <w:r>
        <w:rPr>
          <w:rFonts w:ascii="Arial" w:hAnsi="Arial" w:cs="Arial"/>
          <w:sz w:val="24"/>
          <w:szCs w:val="24"/>
        </w:rPr>
        <w:t>(art. 1º, §1º).</w:t>
      </w:r>
    </w:p>
    <w:p w:rsidR="00FD7675" w:rsidRDefault="00FD7675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96F9D" w:rsidRDefault="00996F9D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FD7675"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 xml:space="preserve">(fl. 03 – </w:t>
      </w:r>
      <w:r w:rsidR="00D619E3">
        <w:rPr>
          <w:rFonts w:ascii="Arial" w:hAnsi="Arial" w:cs="Arial"/>
          <w:b/>
          <w:sz w:val="24"/>
          <w:szCs w:val="24"/>
        </w:rPr>
        <w:t>Superávit Financeiro</w:t>
      </w:r>
      <w:r w:rsidR="00537327">
        <w:rPr>
          <w:rFonts w:ascii="Arial" w:hAnsi="Arial" w:cs="Arial"/>
          <w:b/>
          <w:sz w:val="24"/>
          <w:szCs w:val="24"/>
        </w:rPr>
        <w:t xml:space="preserve"> Utilizado para Créd. Adicionais</w:t>
      </w:r>
      <w:r>
        <w:rPr>
          <w:rFonts w:ascii="Arial" w:hAnsi="Arial" w:cs="Arial"/>
          <w:b/>
          <w:sz w:val="24"/>
          <w:szCs w:val="24"/>
        </w:rPr>
        <w:t>)</w:t>
      </w:r>
      <w:r w:rsidRPr="001B3F7F">
        <w:rPr>
          <w:rFonts w:ascii="Arial" w:hAnsi="Arial" w:cs="Arial"/>
          <w:b/>
          <w:sz w:val="24"/>
          <w:szCs w:val="24"/>
        </w:rPr>
        <w:t>:</w:t>
      </w:r>
      <w:r w:rsidRPr="001B3F7F">
        <w:rPr>
          <w:rFonts w:ascii="Arial" w:hAnsi="Arial" w:cs="Arial"/>
          <w:sz w:val="24"/>
          <w:szCs w:val="24"/>
        </w:rPr>
        <w:t xml:space="preserve"> </w:t>
      </w:r>
      <w:r w:rsidR="00D619E3">
        <w:rPr>
          <w:rFonts w:ascii="Arial" w:hAnsi="Arial" w:cs="Arial"/>
          <w:sz w:val="24"/>
          <w:szCs w:val="24"/>
        </w:rPr>
        <w:t>O superávit financeiro apontado na última linha da fl. 03 diz respeito a diversas modalidades de recursos, em sua maior parte remanescentes de aplicações de 2018, conforme exemplificado a seguir:</w:t>
      </w:r>
    </w:p>
    <w:p w:rsidR="00324851" w:rsidRDefault="00EC09C2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8"/>
        <w:gridCol w:w="4748"/>
      </w:tblGrid>
      <w:tr w:rsidR="00D619E3" w:rsidRPr="0025352D" w:rsidTr="0025352D">
        <w:trPr>
          <w:jc w:val="center"/>
        </w:trPr>
        <w:tc>
          <w:tcPr>
            <w:tcW w:w="4748" w:type="dxa"/>
            <w:vAlign w:val="center"/>
          </w:tcPr>
          <w:p w:rsidR="00D619E3" w:rsidRPr="00E865E5" w:rsidRDefault="00D619E3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Recursos Próprios (Fonte 100)</w:t>
            </w:r>
          </w:p>
        </w:tc>
        <w:tc>
          <w:tcPr>
            <w:tcW w:w="4748" w:type="dxa"/>
            <w:vAlign w:val="center"/>
          </w:tcPr>
          <w:p w:rsidR="00D619E3" w:rsidRPr="00E865E5" w:rsidRDefault="00537327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R$ 5.858.899,61</w:t>
            </w:r>
          </w:p>
        </w:tc>
      </w:tr>
      <w:tr w:rsidR="00D619E3" w:rsidRPr="0025352D" w:rsidTr="0025352D">
        <w:trPr>
          <w:jc w:val="center"/>
        </w:trPr>
        <w:tc>
          <w:tcPr>
            <w:tcW w:w="4748" w:type="dxa"/>
            <w:vAlign w:val="center"/>
          </w:tcPr>
          <w:p w:rsidR="00D619E3" w:rsidRPr="00E865E5" w:rsidRDefault="00537327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FUNDEB (Fonte 300)</w:t>
            </w:r>
          </w:p>
        </w:tc>
        <w:tc>
          <w:tcPr>
            <w:tcW w:w="4748" w:type="dxa"/>
            <w:vAlign w:val="center"/>
          </w:tcPr>
          <w:p w:rsidR="00D619E3" w:rsidRPr="00E865E5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R$ 22.308.618,48</w:t>
            </w:r>
          </w:p>
        </w:tc>
      </w:tr>
      <w:tr w:rsidR="00D619E3" w:rsidRPr="0025352D" w:rsidTr="0025352D">
        <w:trPr>
          <w:jc w:val="center"/>
        </w:trPr>
        <w:tc>
          <w:tcPr>
            <w:tcW w:w="4748" w:type="dxa"/>
            <w:vAlign w:val="center"/>
          </w:tcPr>
          <w:p w:rsidR="00D619E3" w:rsidRPr="00E865E5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Convênios (Fonte 200)</w:t>
            </w:r>
          </w:p>
        </w:tc>
        <w:tc>
          <w:tcPr>
            <w:tcW w:w="4748" w:type="dxa"/>
            <w:vAlign w:val="center"/>
          </w:tcPr>
          <w:p w:rsidR="00D619E3" w:rsidRPr="00E865E5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250A49" w:rsidRPr="00250A49">
              <w:rPr>
                <w:rFonts w:ascii="Arial" w:hAnsi="Arial" w:cs="Arial"/>
                <w:kern w:val="0"/>
                <w:sz w:val="22"/>
                <w:szCs w:val="22"/>
                <w:lang w:eastAsia="pt-BR"/>
              </w:rPr>
              <w:t>27.549.340,37</w:t>
            </w:r>
          </w:p>
        </w:tc>
      </w:tr>
      <w:tr w:rsidR="00D619E3" w:rsidRPr="0025352D" w:rsidTr="0025352D">
        <w:trPr>
          <w:jc w:val="center"/>
        </w:trPr>
        <w:tc>
          <w:tcPr>
            <w:tcW w:w="4748" w:type="dxa"/>
            <w:vAlign w:val="center"/>
          </w:tcPr>
          <w:p w:rsidR="00D619E3" w:rsidRPr="00E865E5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SUS (Fonte 400)</w:t>
            </w:r>
          </w:p>
        </w:tc>
        <w:tc>
          <w:tcPr>
            <w:tcW w:w="4748" w:type="dxa"/>
            <w:vAlign w:val="center"/>
          </w:tcPr>
          <w:p w:rsidR="00D619E3" w:rsidRPr="00E865E5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R$ 2.897.338,91</w:t>
            </w:r>
          </w:p>
        </w:tc>
      </w:tr>
      <w:tr w:rsidR="00D619E3" w:rsidRPr="0025352D" w:rsidTr="0025352D">
        <w:trPr>
          <w:jc w:val="center"/>
        </w:trPr>
        <w:tc>
          <w:tcPr>
            <w:tcW w:w="4748" w:type="dxa"/>
            <w:vAlign w:val="center"/>
          </w:tcPr>
          <w:p w:rsidR="00D619E3" w:rsidRPr="00E865E5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Recursos Próprios de Indiretas (Fonte 700)</w:t>
            </w:r>
          </w:p>
        </w:tc>
        <w:tc>
          <w:tcPr>
            <w:tcW w:w="4748" w:type="dxa"/>
            <w:vAlign w:val="center"/>
          </w:tcPr>
          <w:p w:rsidR="00D619E3" w:rsidRPr="00E865E5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R$ 20.771.773,21</w:t>
            </w:r>
          </w:p>
        </w:tc>
      </w:tr>
      <w:tr w:rsidR="00E865E5" w:rsidRPr="0025352D" w:rsidTr="001556AC">
        <w:trPr>
          <w:jc w:val="center"/>
        </w:trPr>
        <w:tc>
          <w:tcPr>
            <w:tcW w:w="4748" w:type="dxa"/>
            <w:shd w:val="clear" w:color="auto" w:fill="DDD9C3"/>
            <w:vAlign w:val="center"/>
          </w:tcPr>
          <w:p w:rsidR="00E865E5" w:rsidRPr="00E865E5" w:rsidRDefault="00E865E5" w:rsidP="002535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5E5">
              <w:rPr>
                <w:rFonts w:ascii="Arial" w:hAnsi="Arial" w:cs="Arial"/>
                <w:b/>
                <w:sz w:val="22"/>
                <w:szCs w:val="22"/>
              </w:rPr>
              <w:t>Total de Créditos por Superávit Financeiro</w:t>
            </w:r>
          </w:p>
        </w:tc>
        <w:tc>
          <w:tcPr>
            <w:tcW w:w="4748" w:type="dxa"/>
            <w:shd w:val="clear" w:color="auto" w:fill="DDD9C3"/>
            <w:vAlign w:val="center"/>
          </w:tcPr>
          <w:p w:rsidR="00E865E5" w:rsidRPr="00E865E5" w:rsidRDefault="00E865E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5E5">
              <w:rPr>
                <w:rFonts w:ascii="Arial" w:hAnsi="Arial" w:cs="Arial"/>
                <w:sz w:val="22"/>
                <w:szCs w:val="22"/>
              </w:rPr>
              <w:t>R$ 79.385.970,58</w:t>
            </w:r>
          </w:p>
        </w:tc>
      </w:tr>
    </w:tbl>
    <w:p w:rsidR="00D619E3" w:rsidRDefault="00D619E3" w:rsidP="008A27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46563" w:rsidRPr="00046563" w:rsidRDefault="00046563" w:rsidP="007C1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03 (fl. 04 – Juros e amortização da dívida):</w:t>
      </w:r>
      <w:r>
        <w:rPr>
          <w:rFonts w:ascii="Arial" w:hAnsi="Arial" w:cs="Arial"/>
          <w:sz w:val="24"/>
          <w:szCs w:val="24"/>
        </w:rPr>
        <w:t xml:space="preserve"> </w:t>
      </w:r>
      <w:r w:rsidR="007C1895">
        <w:rPr>
          <w:rFonts w:ascii="Arial" w:hAnsi="Arial" w:cs="Arial"/>
          <w:sz w:val="24"/>
          <w:szCs w:val="24"/>
        </w:rPr>
        <w:t>Os valores apresentados a título de juros e amortização da dívida são decorrentes da flutuação do câmbio</w:t>
      </w:r>
      <w:r w:rsidR="00BC43C5">
        <w:rPr>
          <w:rFonts w:ascii="Arial" w:hAnsi="Arial" w:cs="Arial"/>
          <w:sz w:val="24"/>
          <w:szCs w:val="24"/>
        </w:rPr>
        <w:t xml:space="preserve"> do Dólar</w:t>
      </w:r>
      <w:r w:rsidR="007C1895">
        <w:rPr>
          <w:rFonts w:ascii="Arial" w:hAnsi="Arial" w:cs="Arial"/>
          <w:sz w:val="24"/>
          <w:szCs w:val="24"/>
        </w:rPr>
        <w:t>, aliada ao início da amortização d</w:t>
      </w:r>
      <w:r w:rsidR="007B6CCC">
        <w:rPr>
          <w:rFonts w:ascii="Arial" w:hAnsi="Arial" w:cs="Arial"/>
          <w:sz w:val="24"/>
          <w:szCs w:val="24"/>
        </w:rPr>
        <w:t xml:space="preserve">os contratos de financiamento </w:t>
      </w:r>
      <w:r w:rsidR="00E70952">
        <w:rPr>
          <w:rFonts w:ascii="Arial" w:hAnsi="Arial" w:cs="Arial"/>
          <w:sz w:val="24"/>
          <w:szCs w:val="24"/>
        </w:rPr>
        <w:t xml:space="preserve">internacional </w:t>
      </w:r>
      <w:r w:rsidR="007B6CCC">
        <w:rPr>
          <w:rFonts w:ascii="Arial" w:hAnsi="Arial" w:cs="Arial"/>
          <w:sz w:val="24"/>
          <w:szCs w:val="24"/>
        </w:rPr>
        <w:t>titularizados pelo Estado do Acre</w:t>
      </w:r>
      <w:r w:rsidR="007C1895">
        <w:rPr>
          <w:rFonts w:ascii="Arial" w:hAnsi="Arial" w:cs="Arial"/>
          <w:sz w:val="24"/>
          <w:szCs w:val="24"/>
        </w:rPr>
        <w:t xml:space="preserve">. </w:t>
      </w:r>
    </w:p>
    <w:p w:rsidR="00046563" w:rsidRDefault="00046563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01A1" w:rsidRDefault="007101A1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046563">
        <w:rPr>
          <w:rFonts w:ascii="Arial" w:hAnsi="Arial" w:cs="Arial"/>
          <w:b/>
          <w:sz w:val="24"/>
          <w:szCs w:val="24"/>
        </w:rPr>
        <w:t>4</w:t>
      </w:r>
      <w:r w:rsidR="00DE7943">
        <w:rPr>
          <w:rFonts w:ascii="Arial" w:hAnsi="Arial" w:cs="Arial"/>
          <w:b/>
          <w:sz w:val="24"/>
          <w:szCs w:val="24"/>
        </w:rPr>
        <w:t xml:space="preserve"> (fl. 04 – Pessoal e Encargos Sociais)</w:t>
      </w:r>
      <w:r w:rsidRPr="001B3F7F">
        <w:rPr>
          <w:rFonts w:ascii="Arial" w:hAnsi="Arial" w:cs="Arial"/>
          <w:b/>
          <w:sz w:val="24"/>
          <w:szCs w:val="24"/>
        </w:rPr>
        <w:t>:</w:t>
      </w:r>
      <w:r w:rsidRPr="001B3F7F">
        <w:rPr>
          <w:rFonts w:ascii="Arial" w:hAnsi="Arial" w:cs="Arial"/>
          <w:sz w:val="24"/>
          <w:szCs w:val="24"/>
        </w:rPr>
        <w:t xml:space="preserve"> </w:t>
      </w:r>
      <w:r w:rsidR="0075570A">
        <w:rPr>
          <w:rFonts w:ascii="Arial" w:hAnsi="Arial" w:cs="Arial"/>
          <w:sz w:val="24"/>
          <w:szCs w:val="24"/>
        </w:rPr>
        <w:t xml:space="preserve">Conforme será explicado na nota nº 01 do anexo 04 (Plano Previdenciário), em razão da modificação do procedimento de execução orçamentária do </w:t>
      </w:r>
      <w:r w:rsidR="0075570A">
        <w:rPr>
          <w:rFonts w:ascii="Arial" w:hAnsi="Arial" w:cs="Arial"/>
          <w:i/>
          <w:sz w:val="24"/>
          <w:szCs w:val="24"/>
        </w:rPr>
        <w:t xml:space="preserve">déficit </w:t>
      </w:r>
      <w:r w:rsidR="0075570A">
        <w:rPr>
          <w:rFonts w:ascii="Arial" w:hAnsi="Arial" w:cs="Arial"/>
          <w:sz w:val="24"/>
          <w:szCs w:val="24"/>
        </w:rPr>
        <w:t xml:space="preserve">previdenciário, os recursos que antes eram contabilizados na Fonte 800, passaram a ser </w:t>
      </w:r>
      <w:r w:rsidR="00794381">
        <w:rPr>
          <w:rFonts w:ascii="Arial" w:hAnsi="Arial" w:cs="Arial"/>
          <w:sz w:val="24"/>
          <w:szCs w:val="24"/>
        </w:rPr>
        <w:t xml:space="preserve">aferidos na Fonte 100. Por conta disso, os valores relativos </w:t>
      </w:r>
      <w:r w:rsidR="00910281">
        <w:rPr>
          <w:rFonts w:ascii="Arial" w:hAnsi="Arial" w:cs="Arial"/>
          <w:sz w:val="24"/>
          <w:szCs w:val="24"/>
        </w:rPr>
        <w:t>à</w:t>
      </w:r>
      <w:r w:rsidR="00794381">
        <w:rPr>
          <w:rFonts w:ascii="Arial" w:hAnsi="Arial" w:cs="Arial"/>
          <w:sz w:val="24"/>
          <w:szCs w:val="24"/>
        </w:rPr>
        <w:t xml:space="preserve"> pessoal e encargos sociais (linha 3) apresentaram aumento, pois atualmente também correspondem ao montante de recursos que são suplementados de modo </w:t>
      </w:r>
      <w:r w:rsidR="00550FCC">
        <w:rPr>
          <w:rFonts w:ascii="Arial" w:hAnsi="Arial" w:cs="Arial"/>
          <w:sz w:val="24"/>
          <w:szCs w:val="24"/>
        </w:rPr>
        <w:t xml:space="preserve">a </w:t>
      </w:r>
      <w:r w:rsidR="00794381">
        <w:rPr>
          <w:rFonts w:ascii="Arial" w:hAnsi="Arial" w:cs="Arial"/>
          <w:sz w:val="24"/>
          <w:szCs w:val="24"/>
        </w:rPr>
        <w:t xml:space="preserve">suprir o referido </w:t>
      </w:r>
      <w:r w:rsidR="00886559" w:rsidRPr="00794381">
        <w:rPr>
          <w:rFonts w:ascii="Arial" w:hAnsi="Arial" w:cs="Arial"/>
          <w:i/>
          <w:sz w:val="24"/>
          <w:szCs w:val="24"/>
        </w:rPr>
        <w:t>déficit</w:t>
      </w:r>
      <w:r w:rsidR="00794381">
        <w:rPr>
          <w:rFonts w:ascii="Arial" w:hAnsi="Arial" w:cs="Arial"/>
          <w:sz w:val="24"/>
          <w:szCs w:val="24"/>
        </w:rPr>
        <w:t xml:space="preserve">. </w:t>
      </w:r>
    </w:p>
    <w:p w:rsidR="00BF3D42" w:rsidRDefault="00BF3D42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F3D42" w:rsidRPr="0075570A" w:rsidRDefault="00BF3D42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Além disso, é importante salientar que na referida linha também se encontram computadas as despesas com o adiantamento do 13º dos servidores públicos, bem como a quitação de outras despesas com pessoal não regularizadas no exercício de 2018, tais como o parcelamento do 13º não pago. </w:t>
      </w:r>
    </w:p>
    <w:p w:rsidR="007101A1" w:rsidRDefault="007101A1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01A1" w:rsidRDefault="007101A1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01A1" w:rsidRDefault="00504633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04656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(fl. 07 – </w:t>
      </w:r>
      <w:r w:rsidR="00F31087">
        <w:rPr>
          <w:rFonts w:ascii="Arial" w:hAnsi="Arial" w:cs="Arial"/>
          <w:b/>
          <w:sz w:val="24"/>
          <w:szCs w:val="24"/>
        </w:rPr>
        <w:t>Despesas intra-orçamentárias</w:t>
      </w:r>
      <w:r>
        <w:rPr>
          <w:rFonts w:ascii="Arial" w:hAnsi="Arial" w:cs="Arial"/>
          <w:b/>
          <w:sz w:val="24"/>
          <w:szCs w:val="24"/>
        </w:rPr>
        <w:t>)</w:t>
      </w:r>
      <w:r w:rsidRPr="001B3F7F">
        <w:rPr>
          <w:rFonts w:ascii="Arial" w:hAnsi="Arial" w:cs="Arial"/>
          <w:b/>
          <w:sz w:val="24"/>
          <w:szCs w:val="24"/>
        </w:rPr>
        <w:t>:</w:t>
      </w:r>
      <w:r w:rsidR="007B362E">
        <w:rPr>
          <w:rFonts w:ascii="Arial" w:hAnsi="Arial" w:cs="Arial"/>
          <w:sz w:val="24"/>
          <w:szCs w:val="24"/>
        </w:rPr>
        <w:t xml:space="preserve"> A metodologia de cálculo das despesas intra-orçamentárias sofreu modificações para o exercício de 2019, razão pela qual os valores </w:t>
      </w:r>
      <w:r w:rsidR="007C1768">
        <w:rPr>
          <w:rFonts w:ascii="Arial" w:hAnsi="Arial" w:cs="Arial"/>
          <w:sz w:val="24"/>
          <w:szCs w:val="24"/>
        </w:rPr>
        <w:t xml:space="preserve">apontados sofreram variação. </w:t>
      </w:r>
      <w:r w:rsidR="00E36F43">
        <w:rPr>
          <w:rFonts w:ascii="Arial" w:hAnsi="Arial" w:cs="Arial"/>
          <w:sz w:val="24"/>
          <w:szCs w:val="24"/>
        </w:rPr>
        <w:t xml:space="preserve">Ademais, os valores </w:t>
      </w:r>
      <w:r w:rsidR="001B66E1">
        <w:rPr>
          <w:rFonts w:ascii="Arial" w:hAnsi="Arial" w:cs="Arial"/>
          <w:sz w:val="24"/>
          <w:szCs w:val="24"/>
        </w:rPr>
        <w:t>ilustrados</w:t>
      </w:r>
      <w:r w:rsidR="00E36F43">
        <w:rPr>
          <w:rFonts w:ascii="Arial" w:hAnsi="Arial" w:cs="Arial"/>
          <w:sz w:val="24"/>
          <w:szCs w:val="24"/>
        </w:rPr>
        <w:t xml:space="preserve"> na linha de investimentos também apresentaram redução por conta da paralisação das Fontes 500 e 200. </w:t>
      </w:r>
    </w:p>
    <w:p w:rsidR="007101A1" w:rsidRDefault="007101A1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183E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Pr="001B3F7F" w:rsidRDefault="00ED248C" w:rsidP="00ED248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2</w:t>
      </w:r>
      <w:r w:rsidRPr="001B3F7F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64A9" w:rsidRPr="00373B68">
        <w:rPr>
          <w:rFonts w:ascii="Arial" w:hAnsi="Arial" w:cs="Arial"/>
          <w:b/>
          <w:sz w:val="24"/>
          <w:szCs w:val="24"/>
        </w:rPr>
        <w:t>Despesas por função e subfunção</w:t>
      </w:r>
      <w:r>
        <w:rPr>
          <w:rFonts w:ascii="Arial" w:hAnsi="Arial" w:cs="Arial"/>
          <w:b/>
          <w:sz w:val="24"/>
          <w:szCs w:val="24"/>
        </w:rPr>
        <w:t>:</w:t>
      </w: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572383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01 (fls. 04/05 – Urbanismo, habitação e saneamento)</w:t>
      </w:r>
      <w:r>
        <w:rPr>
          <w:rFonts w:ascii="Arial" w:hAnsi="Arial" w:cs="Arial"/>
          <w:sz w:val="24"/>
          <w:szCs w:val="24"/>
        </w:rPr>
        <w:t>: As funções urbanismo, habitação e saneamento sofreram queda em razão da redução na internalização de ope</w:t>
      </w:r>
      <w:r w:rsidR="005D075E">
        <w:rPr>
          <w:rFonts w:ascii="Arial" w:hAnsi="Arial" w:cs="Arial"/>
          <w:sz w:val="24"/>
          <w:szCs w:val="24"/>
        </w:rPr>
        <w:t>rações de crédito no exercício de 2019.</w:t>
      </w:r>
    </w:p>
    <w:p w:rsidR="00627453" w:rsidRDefault="00627453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27453" w:rsidRPr="00F36032" w:rsidRDefault="001B72F1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02 (fl. 08 – Encargos especiais): </w:t>
      </w:r>
      <w:r w:rsidR="00F36032">
        <w:rPr>
          <w:rFonts w:ascii="Arial" w:hAnsi="Arial" w:cs="Arial"/>
          <w:sz w:val="24"/>
          <w:szCs w:val="24"/>
        </w:rPr>
        <w:t xml:space="preserve">O maior desembolso nos serviços de dívidas, em especial a externa, se deu em razão do crescimento da amortização da dívida, conforme explicado na nota nº 3 do Anexo 1. </w:t>
      </w: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21383" w:rsidRDefault="00521383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ED248C" w:rsidP="00183E2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Pr="001B3F7F" w:rsidRDefault="00392809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4</w:t>
      </w:r>
      <w:r w:rsidRPr="001B3F7F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Plano Previdenciário</w:t>
      </w:r>
      <w:r w:rsidR="007101A1">
        <w:rPr>
          <w:rFonts w:ascii="Arial" w:hAnsi="Arial" w:cs="Arial"/>
          <w:b/>
          <w:sz w:val="24"/>
          <w:szCs w:val="24"/>
        </w:rPr>
        <w:t>:</w:t>
      </w: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D3F01" w:rsidRPr="001B3F7F" w:rsidRDefault="009D3F01" w:rsidP="009D3F0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01:</w:t>
      </w:r>
      <w:r w:rsidRPr="001B3F7F">
        <w:rPr>
          <w:rFonts w:ascii="Arial" w:hAnsi="Arial" w:cs="Arial"/>
          <w:sz w:val="24"/>
          <w:szCs w:val="24"/>
        </w:rPr>
        <w:t xml:space="preserve"> </w:t>
      </w:r>
      <w:r w:rsidR="00887E1B">
        <w:rPr>
          <w:rFonts w:ascii="Arial" w:hAnsi="Arial" w:cs="Arial"/>
          <w:sz w:val="24"/>
          <w:szCs w:val="24"/>
        </w:rPr>
        <w:t xml:space="preserve">Os valores relativos à receita de contribuições dos segurados apresentaram redução em razão da modificação do modo de execução orçamentária. Nesse sentido, no exercício anterior o </w:t>
      </w:r>
      <w:r w:rsidR="00887E1B" w:rsidRPr="00887E1B">
        <w:rPr>
          <w:rFonts w:ascii="Arial" w:hAnsi="Arial" w:cs="Arial"/>
          <w:i/>
          <w:sz w:val="24"/>
          <w:szCs w:val="24"/>
        </w:rPr>
        <w:t>déficit</w:t>
      </w:r>
      <w:r w:rsidR="00887E1B">
        <w:rPr>
          <w:rFonts w:ascii="Arial" w:hAnsi="Arial" w:cs="Arial"/>
          <w:sz w:val="24"/>
          <w:szCs w:val="24"/>
        </w:rPr>
        <w:t xml:space="preserve"> previdenciário era computado diretamente na Fonte 800, a qual é refletida no dado em questão. Contudo, atualmente tais </w:t>
      </w:r>
      <w:r w:rsidR="00C8579A">
        <w:rPr>
          <w:rFonts w:ascii="Arial" w:hAnsi="Arial" w:cs="Arial"/>
          <w:sz w:val="24"/>
          <w:szCs w:val="24"/>
        </w:rPr>
        <w:t>recursos</w:t>
      </w:r>
      <w:r w:rsidR="00887E1B">
        <w:rPr>
          <w:rFonts w:ascii="Arial" w:hAnsi="Arial" w:cs="Arial"/>
          <w:sz w:val="24"/>
          <w:szCs w:val="24"/>
        </w:rPr>
        <w:t xml:space="preserve"> são contabilizados </w:t>
      </w:r>
      <w:r w:rsidR="00C8579A">
        <w:rPr>
          <w:rFonts w:ascii="Arial" w:hAnsi="Arial" w:cs="Arial"/>
          <w:sz w:val="24"/>
          <w:szCs w:val="24"/>
        </w:rPr>
        <w:t>diretamente</w:t>
      </w:r>
      <w:r w:rsidR="00887E1B">
        <w:rPr>
          <w:rFonts w:ascii="Arial" w:hAnsi="Arial" w:cs="Arial"/>
          <w:sz w:val="24"/>
          <w:szCs w:val="24"/>
        </w:rPr>
        <w:t xml:space="preserve"> Fonte 100, o que se reflete </w:t>
      </w:r>
      <w:r w:rsidR="00637CE6">
        <w:rPr>
          <w:rFonts w:ascii="Arial" w:hAnsi="Arial" w:cs="Arial"/>
          <w:sz w:val="24"/>
          <w:szCs w:val="24"/>
        </w:rPr>
        <w:t>na aparente redução de receita e no aumento das despesas com pessoal e encargos sociais</w:t>
      </w:r>
      <w:r w:rsidR="00164744">
        <w:rPr>
          <w:rFonts w:ascii="Arial" w:hAnsi="Arial" w:cs="Arial"/>
          <w:sz w:val="24"/>
          <w:szCs w:val="24"/>
        </w:rPr>
        <w:t xml:space="preserve"> (Anexo 1, fl. 04, linha 3)</w:t>
      </w:r>
      <w:r w:rsidR="00637CE6">
        <w:rPr>
          <w:rFonts w:ascii="Arial" w:hAnsi="Arial" w:cs="Arial"/>
          <w:sz w:val="24"/>
          <w:szCs w:val="24"/>
        </w:rPr>
        <w:t xml:space="preserve">. </w:t>
      </w: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17C35" w:rsidRDefault="00817C35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47279" w:rsidRDefault="0024727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47279" w:rsidRDefault="0024727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1CE7" w:rsidRDefault="003B1CE7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244B" w:rsidRPr="001B3F7F" w:rsidRDefault="0017244B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 xml:space="preserve">ANEXO 6 </w:t>
      </w:r>
      <w:r w:rsidR="00392809">
        <w:rPr>
          <w:rFonts w:ascii="Arial" w:hAnsi="Arial" w:cs="Arial"/>
          <w:b/>
          <w:sz w:val="24"/>
          <w:szCs w:val="24"/>
        </w:rPr>
        <w:t>– Resultados Primário e Nominal:</w:t>
      </w:r>
    </w:p>
    <w:p w:rsidR="0017244B" w:rsidRPr="001B3F7F" w:rsidRDefault="0017244B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244B" w:rsidRDefault="0017244B" w:rsidP="001724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01:</w:t>
      </w:r>
      <w:r w:rsidRPr="001B3F7F">
        <w:rPr>
          <w:rFonts w:ascii="Arial" w:hAnsi="Arial" w:cs="Arial"/>
          <w:sz w:val="24"/>
          <w:szCs w:val="24"/>
        </w:rPr>
        <w:t xml:space="preserve"> Todas as fórmulas de cálculo e </w:t>
      </w:r>
      <w:r w:rsidRPr="001B3F7F">
        <w:rPr>
          <w:rFonts w:ascii="Arial" w:hAnsi="Arial" w:cs="Arial"/>
          <w:i/>
          <w:sz w:val="24"/>
          <w:szCs w:val="24"/>
        </w:rPr>
        <w:t>layouts</w:t>
      </w:r>
      <w:r w:rsidRPr="001B3F7F">
        <w:rPr>
          <w:rFonts w:ascii="Arial" w:hAnsi="Arial" w:cs="Arial"/>
          <w:sz w:val="24"/>
          <w:szCs w:val="24"/>
        </w:rPr>
        <w:t xml:space="preserve"> de apresentação dos Demonstrativos no exercício de 2019, devem seguir o que preceitua o Manual de Demonstrativos Fiscais – MDF </w:t>
      </w:r>
      <w:r w:rsidR="00A1087C">
        <w:rPr>
          <w:rFonts w:ascii="Arial" w:hAnsi="Arial" w:cs="Arial"/>
          <w:sz w:val="24"/>
          <w:szCs w:val="24"/>
        </w:rPr>
        <w:t>(</w:t>
      </w:r>
      <w:r w:rsidRPr="001B3F7F">
        <w:rPr>
          <w:rFonts w:ascii="Arial" w:hAnsi="Arial" w:cs="Arial"/>
          <w:sz w:val="24"/>
          <w:szCs w:val="24"/>
        </w:rPr>
        <w:t>9ª edição</w:t>
      </w:r>
      <w:r w:rsidR="00A1087C">
        <w:rPr>
          <w:rFonts w:ascii="Arial" w:hAnsi="Arial" w:cs="Arial"/>
          <w:sz w:val="24"/>
          <w:szCs w:val="24"/>
        </w:rPr>
        <w:t>)</w:t>
      </w:r>
      <w:r w:rsidRPr="001B3F7F">
        <w:rPr>
          <w:rFonts w:ascii="Arial" w:hAnsi="Arial" w:cs="Arial"/>
          <w:sz w:val="24"/>
          <w:szCs w:val="24"/>
        </w:rPr>
        <w:t xml:space="preserve"> válida para o exercício de 2019, do Ministério da Fazenda através da Secretaria do Tesouro Nacional – STN.</w:t>
      </w:r>
    </w:p>
    <w:p w:rsidR="001075CB" w:rsidRDefault="001075CB" w:rsidP="0017244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075CB" w:rsidRPr="001B3F7F" w:rsidRDefault="001075CB" w:rsidP="001724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5CB">
        <w:rPr>
          <w:rFonts w:ascii="Arial" w:hAnsi="Arial" w:cs="Arial"/>
          <w:b/>
          <w:sz w:val="24"/>
          <w:szCs w:val="24"/>
        </w:rPr>
        <w:t>Nota 02</w:t>
      </w:r>
      <w:r w:rsidRPr="00EC09C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 valor do campo relativo ao Imposto de Renda Retido na Fonte (IRRF) encontra-se zerado por conta de modificação na forma de contabilização. Ademais, os recursos correspondentes ao referido campo encontram-se na linha 17 – Outras transferências correntes.</w:t>
      </w:r>
    </w:p>
    <w:p w:rsidR="0017244B" w:rsidRPr="001B3F7F" w:rsidRDefault="0017244B" w:rsidP="0017244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244B" w:rsidRPr="0074693B" w:rsidRDefault="0017244B" w:rsidP="0017244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4693B">
        <w:rPr>
          <w:rFonts w:ascii="Arial" w:hAnsi="Arial" w:cs="Arial"/>
          <w:b/>
          <w:sz w:val="24"/>
          <w:szCs w:val="24"/>
        </w:rPr>
        <w:t>Nota 0</w:t>
      </w:r>
      <w:r w:rsidR="001075CB" w:rsidRPr="0074693B">
        <w:rPr>
          <w:rFonts w:ascii="Arial" w:hAnsi="Arial" w:cs="Arial"/>
          <w:b/>
          <w:sz w:val="24"/>
          <w:szCs w:val="24"/>
        </w:rPr>
        <w:t>3</w:t>
      </w:r>
      <w:r w:rsidRPr="0074693B">
        <w:rPr>
          <w:rFonts w:ascii="Arial" w:hAnsi="Arial" w:cs="Arial"/>
          <w:b/>
          <w:sz w:val="24"/>
          <w:szCs w:val="24"/>
        </w:rPr>
        <w:t>:</w:t>
      </w:r>
      <w:r w:rsidRPr="0074693B">
        <w:rPr>
          <w:rFonts w:ascii="Arial" w:hAnsi="Arial" w:cs="Arial"/>
          <w:sz w:val="24"/>
          <w:szCs w:val="24"/>
        </w:rPr>
        <w:t xml:space="preserve"> O valor apresentado na Disponibilidade de Caixa Bruta, no montante de R$ </w:t>
      </w:r>
      <w:r w:rsidR="0074693B" w:rsidRPr="0074693B">
        <w:rPr>
          <w:rFonts w:ascii="Arial" w:hAnsi="Arial" w:cs="Arial"/>
          <w:sz w:val="24"/>
          <w:szCs w:val="24"/>
        </w:rPr>
        <w:t xml:space="preserve">758.166.453,88 (setecentos e cinquenta e oito milhões cento e sessenta e seis mil quatrocentos e cinquenta e três reais e oitenta e oito centavos) </w:t>
      </w:r>
      <w:r w:rsidRPr="0074693B">
        <w:rPr>
          <w:rFonts w:ascii="Arial" w:hAnsi="Arial" w:cs="Arial"/>
          <w:b/>
          <w:sz w:val="24"/>
          <w:szCs w:val="24"/>
        </w:rPr>
        <w:t>não</w:t>
      </w:r>
      <w:r w:rsidRPr="0074693B">
        <w:rPr>
          <w:rFonts w:ascii="Arial" w:hAnsi="Arial" w:cs="Arial"/>
          <w:sz w:val="24"/>
          <w:szCs w:val="24"/>
        </w:rPr>
        <w:t xml:space="preserve"> diz respeito aos valores que o Estado </w:t>
      </w:r>
      <w:r w:rsidR="00DE6E21" w:rsidRPr="0074693B">
        <w:rPr>
          <w:rFonts w:ascii="Arial" w:hAnsi="Arial" w:cs="Arial"/>
          <w:sz w:val="24"/>
          <w:szCs w:val="24"/>
        </w:rPr>
        <w:t xml:space="preserve">(Executivo) </w:t>
      </w:r>
      <w:r w:rsidRPr="0074693B">
        <w:rPr>
          <w:rFonts w:ascii="Arial" w:hAnsi="Arial" w:cs="Arial"/>
          <w:sz w:val="24"/>
          <w:szCs w:val="24"/>
        </w:rPr>
        <w:t>efetivamente detém, tratando-se de mera contabilização de todos os recursos que foram incluídos no Sistema de Administração Orçamentária, Financeira e Contábil – SAFIRA de todos os entes da Administração Pública, tanto dos Três Poderes (Executivo, Legislativo e Judiciário), quanto dos demais entes dotados de autonomia, como Ministério Público, Defensoria Pública e Tribuna</w:t>
      </w:r>
      <w:r w:rsidR="00EF5EF1" w:rsidRPr="0074693B">
        <w:rPr>
          <w:rFonts w:ascii="Arial" w:hAnsi="Arial" w:cs="Arial"/>
          <w:sz w:val="24"/>
          <w:szCs w:val="24"/>
        </w:rPr>
        <w:t>l</w:t>
      </w:r>
      <w:r w:rsidRPr="0074693B">
        <w:rPr>
          <w:rFonts w:ascii="Arial" w:hAnsi="Arial" w:cs="Arial"/>
          <w:sz w:val="24"/>
          <w:szCs w:val="24"/>
        </w:rPr>
        <w:t xml:space="preserve"> de Contas. Nesse sentido:</w:t>
      </w:r>
    </w:p>
    <w:p w:rsidR="00DE1321" w:rsidRDefault="004E48D2" w:rsidP="0048439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0"/>
        <w:gridCol w:w="2979"/>
      </w:tblGrid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CAIXA BRUTO</w:t>
            </w:r>
          </w:p>
        </w:tc>
        <w:tc>
          <w:tcPr>
            <w:tcW w:w="2979" w:type="dxa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R$ 758.166.453,88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Repasse aos Poderes e entidades autônomas</w:t>
            </w:r>
          </w:p>
        </w:tc>
        <w:tc>
          <w:tcPr>
            <w:tcW w:w="2979" w:type="dxa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102.556.474,68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Convênios</w:t>
            </w:r>
          </w:p>
        </w:tc>
        <w:tc>
          <w:tcPr>
            <w:tcW w:w="2979" w:type="dxa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196.390.749,20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FUNDEB</w:t>
            </w:r>
          </w:p>
        </w:tc>
        <w:tc>
          <w:tcPr>
            <w:tcW w:w="2979" w:type="dxa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27.039.407,09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SUS</w:t>
            </w:r>
          </w:p>
        </w:tc>
        <w:tc>
          <w:tcPr>
            <w:tcW w:w="2979" w:type="dxa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46.852.798,77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Operações de Crédito</w:t>
            </w:r>
          </w:p>
        </w:tc>
        <w:tc>
          <w:tcPr>
            <w:tcW w:w="2979" w:type="dxa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92.995.228,80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Recursos Próprios das Indiretas</w:t>
            </w:r>
          </w:p>
        </w:tc>
        <w:tc>
          <w:tcPr>
            <w:tcW w:w="2979" w:type="dxa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39.578.935,63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Recursos Previdenciários</w:t>
            </w:r>
          </w:p>
        </w:tc>
        <w:tc>
          <w:tcPr>
            <w:tcW w:w="2979" w:type="dxa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R$ 23.214.568,25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Valores em Trânsitos não baixados pelo Banco</w:t>
            </w:r>
          </w:p>
        </w:tc>
        <w:tc>
          <w:tcPr>
            <w:tcW w:w="2979" w:type="dxa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35.614.775,03</w:t>
            </w:r>
          </w:p>
        </w:tc>
      </w:tr>
      <w:tr w:rsidR="002550F5" w:rsidRPr="001556AC" w:rsidTr="00132F91">
        <w:trPr>
          <w:jc w:val="center"/>
        </w:trPr>
        <w:tc>
          <w:tcPr>
            <w:tcW w:w="3830" w:type="dxa"/>
            <w:shd w:val="clear" w:color="auto" w:fill="DDD9C3"/>
            <w:vAlign w:val="center"/>
          </w:tcPr>
          <w:p w:rsidR="002550F5" w:rsidRPr="001556AC" w:rsidRDefault="002550F5" w:rsidP="004843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RECURSOS PRÓPRIOS DO EXECUTIVO</w:t>
            </w:r>
          </w:p>
        </w:tc>
        <w:tc>
          <w:tcPr>
            <w:tcW w:w="2979" w:type="dxa"/>
            <w:shd w:val="clear" w:color="auto" w:fill="DDD9C3"/>
            <w:vAlign w:val="center"/>
          </w:tcPr>
          <w:p w:rsidR="002550F5" w:rsidRPr="001556AC" w:rsidRDefault="00881D5E" w:rsidP="004843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229.538.291,46</w:t>
            </w:r>
          </w:p>
        </w:tc>
      </w:tr>
    </w:tbl>
    <w:p w:rsidR="0017244B" w:rsidRPr="003066B1" w:rsidRDefault="0017244B" w:rsidP="0017244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47ACB" w:rsidRDefault="0017244B" w:rsidP="0017244B">
      <w:pPr>
        <w:spacing w:after="120" w:line="276" w:lineRule="auto"/>
        <w:jc w:val="both"/>
        <w:rPr>
          <w:rFonts w:ascii="Arial" w:hAnsi="Arial" w:cs="Arial"/>
          <w:color w:val="FF0000"/>
          <w:sz w:val="24"/>
          <w:szCs w:val="22"/>
        </w:rPr>
      </w:pPr>
      <w:r w:rsidRPr="009743F6">
        <w:rPr>
          <w:rFonts w:ascii="Arial" w:hAnsi="Arial" w:cs="Arial"/>
          <w:sz w:val="24"/>
          <w:szCs w:val="22"/>
        </w:rPr>
        <w:t>Des</w:t>
      </w:r>
      <w:r w:rsidR="006F60A0">
        <w:rPr>
          <w:rFonts w:ascii="Arial" w:hAnsi="Arial" w:cs="Arial"/>
          <w:sz w:val="24"/>
          <w:szCs w:val="22"/>
        </w:rPr>
        <w:t>s</w:t>
      </w:r>
      <w:r w:rsidRPr="009743F6">
        <w:rPr>
          <w:rFonts w:ascii="Arial" w:hAnsi="Arial" w:cs="Arial"/>
          <w:sz w:val="24"/>
          <w:szCs w:val="22"/>
        </w:rPr>
        <w:t xml:space="preserve">a forma, da quantia total de </w:t>
      </w:r>
      <w:r w:rsidR="00BF0E0A">
        <w:rPr>
          <w:rFonts w:ascii="Arial" w:hAnsi="Arial" w:cs="Arial"/>
          <w:sz w:val="24"/>
          <w:szCs w:val="22"/>
        </w:rPr>
        <w:t xml:space="preserve">R$ </w:t>
      </w:r>
      <w:r w:rsidR="00295022" w:rsidRPr="00295022">
        <w:rPr>
          <w:rFonts w:ascii="Arial" w:hAnsi="Arial" w:cs="Arial"/>
          <w:sz w:val="24"/>
          <w:szCs w:val="24"/>
        </w:rPr>
        <w:t xml:space="preserve">758.166.453,88 </w:t>
      </w:r>
      <w:r w:rsidR="009743F6" w:rsidRPr="009743F6">
        <w:rPr>
          <w:rFonts w:ascii="Arial" w:hAnsi="Arial" w:cs="Arial"/>
          <w:sz w:val="24"/>
          <w:szCs w:val="24"/>
        </w:rPr>
        <w:t>(</w:t>
      </w:r>
      <w:r w:rsidR="00295022">
        <w:rPr>
          <w:rFonts w:ascii="Arial" w:hAnsi="Arial" w:cs="Arial"/>
          <w:sz w:val="24"/>
          <w:szCs w:val="24"/>
        </w:rPr>
        <w:t>setecentos e cinq</w:t>
      </w:r>
      <w:r w:rsidR="006F60A0">
        <w:rPr>
          <w:rFonts w:ascii="Arial" w:hAnsi="Arial" w:cs="Arial"/>
          <w:sz w:val="24"/>
          <w:szCs w:val="24"/>
        </w:rPr>
        <w:t>u</w:t>
      </w:r>
      <w:r w:rsidR="00295022">
        <w:rPr>
          <w:rFonts w:ascii="Arial" w:hAnsi="Arial" w:cs="Arial"/>
          <w:sz w:val="24"/>
          <w:szCs w:val="24"/>
        </w:rPr>
        <w:t>enta e oito milhões cento e sessenta e seis mil quatrocentos e cinquenta e três reais e oitenta e oito centavos</w:t>
      </w:r>
      <w:r w:rsidR="009743F6" w:rsidRPr="009743F6">
        <w:rPr>
          <w:rFonts w:ascii="Arial" w:hAnsi="Arial" w:cs="Arial"/>
          <w:sz w:val="24"/>
          <w:szCs w:val="24"/>
        </w:rPr>
        <w:t>)</w:t>
      </w:r>
      <w:r w:rsidRPr="009743F6">
        <w:rPr>
          <w:rFonts w:ascii="Arial" w:hAnsi="Arial" w:cs="Arial"/>
          <w:sz w:val="24"/>
          <w:szCs w:val="22"/>
        </w:rPr>
        <w:t>,</w:t>
      </w:r>
      <w:r w:rsidRPr="003066B1">
        <w:rPr>
          <w:rFonts w:ascii="Arial" w:hAnsi="Arial" w:cs="Arial"/>
          <w:color w:val="FF0000"/>
          <w:sz w:val="24"/>
          <w:szCs w:val="22"/>
        </w:rPr>
        <w:t xml:space="preserve"> </w:t>
      </w:r>
      <w:r w:rsidRPr="009743F6">
        <w:rPr>
          <w:rFonts w:ascii="Arial" w:hAnsi="Arial" w:cs="Arial"/>
          <w:sz w:val="24"/>
          <w:szCs w:val="22"/>
        </w:rPr>
        <w:t xml:space="preserve">depois de feita a necessária destinação, resta </w:t>
      </w:r>
      <w:r w:rsidR="00EF5EF1" w:rsidRPr="009743F6">
        <w:rPr>
          <w:rFonts w:ascii="Arial" w:hAnsi="Arial" w:cs="Arial"/>
          <w:sz w:val="24"/>
          <w:szCs w:val="22"/>
        </w:rPr>
        <w:t>no</w:t>
      </w:r>
      <w:r w:rsidRPr="009743F6">
        <w:rPr>
          <w:rFonts w:ascii="Arial" w:hAnsi="Arial" w:cs="Arial"/>
          <w:sz w:val="24"/>
          <w:szCs w:val="22"/>
        </w:rPr>
        <w:t xml:space="preserve"> Caixa Bruto a </w:t>
      </w:r>
      <w:r w:rsidRPr="009743F6">
        <w:rPr>
          <w:rFonts w:ascii="Arial" w:hAnsi="Arial" w:cs="Arial"/>
          <w:sz w:val="24"/>
          <w:szCs w:val="22"/>
        </w:rPr>
        <w:lastRenderedPageBreak/>
        <w:t>importância de</w:t>
      </w:r>
      <w:r w:rsidRPr="003066B1">
        <w:rPr>
          <w:rFonts w:ascii="Arial" w:hAnsi="Arial" w:cs="Arial"/>
          <w:color w:val="FF0000"/>
          <w:sz w:val="24"/>
          <w:szCs w:val="22"/>
        </w:rPr>
        <w:t xml:space="preserve"> </w:t>
      </w:r>
      <w:r w:rsidRPr="00A94E7C">
        <w:rPr>
          <w:rFonts w:ascii="Arial" w:hAnsi="Arial" w:cs="Arial"/>
          <w:color w:val="000000"/>
          <w:sz w:val="24"/>
          <w:szCs w:val="22"/>
        </w:rPr>
        <w:t xml:space="preserve">R$ </w:t>
      </w:r>
      <w:r w:rsidR="00F92EB4" w:rsidRPr="00F92EB4">
        <w:rPr>
          <w:rFonts w:ascii="Arial" w:hAnsi="Arial" w:cs="Arial"/>
          <w:color w:val="000000"/>
          <w:sz w:val="24"/>
          <w:szCs w:val="22"/>
        </w:rPr>
        <w:t xml:space="preserve">229.538.291,46 </w:t>
      </w:r>
      <w:r w:rsidRPr="00A94E7C">
        <w:rPr>
          <w:rFonts w:ascii="Arial" w:hAnsi="Arial" w:cs="Arial"/>
          <w:color w:val="000000"/>
          <w:sz w:val="24"/>
          <w:szCs w:val="22"/>
        </w:rPr>
        <w:t>(</w:t>
      </w:r>
      <w:r w:rsidR="00F92EB4">
        <w:rPr>
          <w:rFonts w:ascii="Arial" w:hAnsi="Arial" w:cs="Arial"/>
          <w:color w:val="000000"/>
          <w:sz w:val="24"/>
          <w:szCs w:val="22"/>
        </w:rPr>
        <w:t>duzentos e vinte e nove milhões quinhentos e trinta e oito mil duzentos e noventa e um reais e quarenta e seis centavos</w:t>
      </w:r>
      <w:r w:rsidRPr="00A94E7C">
        <w:rPr>
          <w:rFonts w:ascii="Arial" w:hAnsi="Arial" w:cs="Arial"/>
          <w:color w:val="000000"/>
          <w:sz w:val="24"/>
          <w:szCs w:val="22"/>
        </w:rPr>
        <w:t>)</w:t>
      </w:r>
      <w:r w:rsidRPr="003066B1">
        <w:rPr>
          <w:rFonts w:ascii="Arial" w:hAnsi="Arial" w:cs="Arial"/>
          <w:color w:val="FF0000"/>
          <w:sz w:val="24"/>
          <w:szCs w:val="22"/>
        </w:rPr>
        <w:t xml:space="preserve"> </w:t>
      </w:r>
      <w:r w:rsidRPr="009743F6">
        <w:rPr>
          <w:rFonts w:ascii="Arial" w:hAnsi="Arial" w:cs="Arial"/>
          <w:sz w:val="24"/>
          <w:szCs w:val="22"/>
        </w:rPr>
        <w:t>a título de recursos próprios.</w:t>
      </w:r>
    </w:p>
    <w:p w:rsidR="0017244B" w:rsidRPr="00047ACB" w:rsidRDefault="0017244B" w:rsidP="0017244B">
      <w:pPr>
        <w:spacing w:after="120" w:line="276" w:lineRule="auto"/>
        <w:jc w:val="both"/>
        <w:rPr>
          <w:rFonts w:ascii="Arial" w:hAnsi="Arial" w:cs="Arial"/>
          <w:color w:val="FF0000"/>
          <w:sz w:val="24"/>
          <w:szCs w:val="22"/>
        </w:rPr>
      </w:pPr>
      <w:r w:rsidRPr="0007558C">
        <w:rPr>
          <w:rFonts w:ascii="Arial" w:hAnsi="Arial" w:cs="Arial"/>
          <w:sz w:val="24"/>
          <w:szCs w:val="22"/>
        </w:rPr>
        <w:t xml:space="preserve">Todavia, ocorrem ainda novas obrigações de repasses que são </w:t>
      </w:r>
      <w:r>
        <w:rPr>
          <w:rFonts w:ascii="Arial" w:hAnsi="Arial" w:cs="Arial"/>
          <w:sz w:val="24"/>
          <w:szCs w:val="22"/>
        </w:rPr>
        <w:t>retiradas</w:t>
      </w:r>
      <w:r w:rsidRPr="0007558C">
        <w:rPr>
          <w:rFonts w:ascii="Arial" w:hAnsi="Arial" w:cs="Arial"/>
          <w:sz w:val="24"/>
          <w:szCs w:val="22"/>
        </w:rPr>
        <w:t xml:space="preserve"> dos recursos próprios, quais sejam: CIDE – Contribuição de Intervenção no Domínio Econômico; FEP – Fundo Especial do Petróleo, Cauções, Salário Educação, </w:t>
      </w:r>
      <w:r w:rsidR="00EF5EF1" w:rsidRPr="0007558C">
        <w:rPr>
          <w:rFonts w:ascii="Arial" w:hAnsi="Arial" w:cs="Arial"/>
          <w:sz w:val="24"/>
          <w:szCs w:val="22"/>
        </w:rPr>
        <w:t>Contrapartida</w:t>
      </w:r>
      <w:r w:rsidRPr="0007558C">
        <w:rPr>
          <w:rFonts w:ascii="Arial" w:hAnsi="Arial" w:cs="Arial"/>
          <w:sz w:val="24"/>
          <w:szCs w:val="22"/>
        </w:rPr>
        <w:t xml:space="preserve"> de Convênios e Rendimento de Operações de Créditos, </w:t>
      </w:r>
      <w:r>
        <w:rPr>
          <w:rFonts w:ascii="Arial" w:hAnsi="Arial" w:cs="Arial"/>
          <w:sz w:val="24"/>
          <w:szCs w:val="22"/>
        </w:rPr>
        <w:t>nos termos da</w:t>
      </w:r>
      <w:r w:rsidRPr="0007558C">
        <w:rPr>
          <w:rFonts w:ascii="Arial" w:hAnsi="Arial" w:cs="Arial"/>
          <w:sz w:val="24"/>
          <w:szCs w:val="22"/>
        </w:rPr>
        <w:t xml:space="preserve"> tabela a seguir:</w:t>
      </w: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2977"/>
      </w:tblGrid>
      <w:tr w:rsidR="0017244B" w:rsidRPr="001556AC" w:rsidTr="005D652F">
        <w:trPr>
          <w:jc w:val="center"/>
        </w:trPr>
        <w:tc>
          <w:tcPr>
            <w:tcW w:w="3827" w:type="dxa"/>
            <w:vAlign w:val="center"/>
          </w:tcPr>
          <w:p w:rsidR="0017244B" w:rsidRPr="001556AC" w:rsidRDefault="0017244B" w:rsidP="00AC3D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RECURSOS PRÓPRIOS DO EXECUTIVO</w:t>
            </w:r>
          </w:p>
        </w:tc>
        <w:tc>
          <w:tcPr>
            <w:tcW w:w="2977" w:type="dxa"/>
            <w:vAlign w:val="center"/>
          </w:tcPr>
          <w:p w:rsidR="0017244B" w:rsidRPr="001556AC" w:rsidRDefault="000F3B2D" w:rsidP="00AC3D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229.538.291,46</w:t>
            </w:r>
          </w:p>
        </w:tc>
      </w:tr>
      <w:tr w:rsidR="005D652F" w:rsidRPr="001556AC" w:rsidTr="005D652F">
        <w:trPr>
          <w:jc w:val="center"/>
        </w:trPr>
        <w:tc>
          <w:tcPr>
            <w:tcW w:w="3827" w:type="dxa"/>
            <w:vAlign w:val="center"/>
          </w:tcPr>
          <w:p w:rsidR="005D652F" w:rsidRPr="001556AC" w:rsidRDefault="005D652F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Saldo Liberado/Disponível aos órgãos</w:t>
            </w:r>
          </w:p>
        </w:tc>
        <w:tc>
          <w:tcPr>
            <w:tcW w:w="2977" w:type="dxa"/>
            <w:vAlign w:val="center"/>
          </w:tcPr>
          <w:p w:rsidR="005D652F" w:rsidRPr="001556AC" w:rsidRDefault="000F3B2D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30.797.857,14</w:t>
            </w:r>
          </w:p>
        </w:tc>
      </w:tr>
      <w:tr w:rsidR="0017244B" w:rsidRPr="001556AC" w:rsidTr="005D652F">
        <w:trPr>
          <w:jc w:val="center"/>
        </w:trPr>
        <w:tc>
          <w:tcPr>
            <w:tcW w:w="3827" w:type="dxa"/>
            <w:vAlign w:val="center"/>
          </w:tcPr>
          <w:p w:rsidR="0017244B" w:rsidRPr="001556AC" w:rsidRDefault="0017244B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CIDE</w:t>
            </w:r>
          </w:p>
        </w:tc>
        <w:tc>
          <w:tcPr>
            <w:tcW w:w="2977" w:type="dxa"/>
            <w:vAlign w:val="center"/>
          </w:tcPr>
          <w:p w:rsidR="0017244B" w:rsidRPr="001556AC" w:rsidRDefault="00097615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382.556,45</w:t>
            </w:r>
          </w:p>
        </w:tc>
      </w:tr>
      <w:tr w:rsidR="0017244B" w:rsidRPr="001556AC" w:rsidTr="005D652F">
        <w:trPr>
          <w:jc w:val="center"/>
        </w:trPr>
        <w:tc>
          <w:tcPr>
            <w:tcW w:w="3827" w:type="dxa"/>
            <w:vAlign w:val="center"/>
          </w:tcPr>
          <w:p w:rsidR="0017244B" w:rsidRPr="001556AC" w:rsidRDefault="0017244B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Fundo Especial do Petróleo</w:t>
            </w:r>
          </w:p>
        </w:tc>
        <w:tc>
          <w:tcPr>
            <w:tcW w:w="2977" w:type="dxa"/>
            <w:vAlign w:val="center"/>
          </w:tcPr>
          <w:p w:rsidR="0017244B" w:rsidRPr="001556AC" w:rsidRDefault="00A30CAA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157.147.450,46</w:t>
            </w:r>
          </w:p>
        </w:tc>
      </w:tr>
      <w:tr w:rsidR="0017244B" w:rsidRPr="001556AC" w:rsidTr="005D652F">
        <w:trPr>
          <w:jc w:val="center"/>
        </w:trPr>
        <w:tc>
          <w:tcPr>
            <w:tcW w:w="3827" w:type="dxa"/>
            <w:vAlign w:val="center"/>
          </w:tcPr>
          <w:p w:rsidR="0017244B" w:rsidRPr="001556AC" w:rsidRDefault="0017244B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Cauções</w:t>
            </w:r>
          </w:p>
        </w:tc>
        <w:tc>
          <w:tcPr>
            <w:tcW w:w="2977" w:type="dxa"/>
            <w:vAlign w:val="center"/>
          </w:tcPr>
          <w:p w:rsidR="0017244B" w:rsidRPr="001556AC" w:rsidRDefault="00860B7F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2.022.993,25</w:t>
            </w:r>
          </w:p>
        </w:tc>
      </w:tr>
      <w:tr w:rsidR="0017244B" w:rsidRPr="001556AC" w:rsidTr="005D652F">
        <w:trPr>
          <w:jc w:val="center"/>
        </w:trPr>
        <w:tc>
          <w:tcPr>
            <w:tcW w:w="3827" w:type="dxa"/>
            <w:vAlign w:val="center"/>
          </w:tcPr>
          <w:p w:rsidR="0017244B" w:rsidRPr="001556AC" w:rsidRDefault="0017244B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color w:val="000000"/>
                <w:sz w:val="22"/>
                <w:szCs w:val="22"/>
              </w:rPr>
              <w:t>Salário Educação</w:t>
            </w:r>
          </w:p>
        </w:tc>
        <w:tc>
          <w:tcPr>
            <w:tcW w:w="2977" w:type="dxa"/>
            <w:vAlign w:val="center"/>
          </w:tcPr>
          <w:p w:rsidR="0017244B" w:rsidRPr="001556AC" w:rsidRDefault="001556AC" w:rsidP="00AC3D4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17244B" w:rsidRPr="001556AC" w:rsidTr="005D652F">
        <w:trPr>
          <w:jc w:val="center"/>
        </w:trPr>
        <w:tc>
          <w:tcPr>
            <w:tcW w:w="3827" w:type="dxa"/>
            <w:shd w:val="clear" w:color="auto" w:fill="DDD9C3"/>
            <w:vAlign w:val="center"/>
          </w:tcPr>
          <w:p w:rsidR="0017244B" w:rsidRPr="001556AC" w:rsidRDefault="0017244B" w:rsidP="00AC3D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56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DISPONIBILIDADE DE RECURSOS DO TESOURO</w:t>
            </w:r>
            <w:r w:rsidR="00EF5EF1" w:rsidRPr="001556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ESTADUAL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17244B" w:rsidRPr="001556AC" w:rsidRDefault="001556AC" w:rsidP="00AC3D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56AC">
              <w:rPr>
                <w:rStyle w:val="objec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39.187.434,16</w:t>
            </w:r>
          </w:p>
        </w:tc>
      </w:tr>
    </w:tbl>
    <w:p w:rsidR="0017244B" w:rsidRPr="00730961" w:rsidRDefault="0017244B" w:rsidP="0017244B">
      <w:pPr>
        <w:jc w:val="both"/>
        <w:rPr>
          <w:rFonts w:ascii="Arial" w:hAnsi="Arial" w:cs="Arial"/>
          <w:szCs w:val="24"/>
        </w:rPr>
      </w:pPr>
    </w:p>
    <w:p w:rsidR="0017244B" w:rsidRPr="001B3F7F" w:rsidRDefault="0017244B" w:rsidP="0017244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sz w:val="24"/>
          <w:szCs w:val="24"/>
        </w:rPr>
        <w:t xml:space="preserve">Neste caso, </w:t>
      </w:r>
      <w:r>
        <w:rPr>
          <w:rFonts w:ascii="Arial" w:hAnsi="Arial" w:cs="Arial"/>
          <w:sz w:val="24"/>
          <w:szCs w:val="24"/>
        </w:rPr>
        <w:t>observa-se</w:t>
      </w:r>
      <w:r w:rsidRPr="001B3F7F">
        <w:rPr>
          <w:rFonts w:ascii="Arial" w:hAnsi="Arial" w:cs="Arial"/>
          <w:sz w:val="24"/>
          <w:szCs w:val="24"/>
        </w:rPr>
        <w:t xml:space="preserve"> que o valor apresentado na Disponibilidade de Caixa Bruta inclui recursos de destinação obrigatória, ou seja, recursos sobre os quais o Estado não detém livre arbítrio. Além disso, o caixa do Estado apresenta alta volatilidade financeira, tendo em vista o grande volume de pagamentos e transações bancárias, </w:t>
      </w:r>
      <w:r w:rsidRPr="00964EBC">
        <w:rPr>
          <w:rFonts w:ascii="Arial" w:hAnsi="Arial" w:cs="Arial"/>
          <w:sz w:val="24"/>
          <w:szCs w:val="24"/>
        </w:rPr>
        <w:t>razão pela qual o valor apresentado não reflete o “saldo” real do Poder Executivo, o qual só é possível de aferir de maneira precisa em 31 de dezembro, momento de fechamento do caixa anual.</w:t>
      </w:r>
      <w:r w:rsidR="00717E29">
        <w:rPr>
          <w:rFonts w:ascii="Arial" w:hAnsi="Arial" w:cs="Arial"/>
          <w:sz w:val="24"/>
          <w:szCs w:val="24"/>
        </w:rPr>
        <w:t xml:space="preserve"> </w:t>
      </w:r>
    </w:p>
    <w:p w:rsidR="0017244B" w:rsidRPr="001B3F7F" w:rsidRDefault="0017244B" w:rsidP="0017244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sz w:val="24"/>
          <w:szCs w:val="24"/>
        </w:rPr>
        <w:t xml:space="preserve">Importante ressaltar que essa mesma Disponibilidade de Caixa é demonstrada de forma mais detalhada e correta no Anexo 5 - Demonstrativo da Disponibilidade de Caixa e dos Restos a Pagar. Frisa-se que a apresentação de tais demonstrativos só </w:t>
      </w:r>
      <w:r>
        <w:rPr>
          <w:rFonts w:ascii="Arial" w:hAnsi="Arial" w:cs="Arial"/>
          <w:sz w:val="24"/>
          <w:szCs w:val="24"/>
        </w:rPr>
        <w:t>se torna</w:t>
      </w:r>
      <w:r w:rsidRPr="001B3F7F">
        <w:rPr>
          <w:rFonts w:ascii="Arial" w:hAnsi="Arial" w:cs="Arial"/>
          <w:sz w:val="24"/>
          <w:szCs w:val="24"/>
        </w:rPr>
        <w:t xml:space="preserve"> obrigatóri</w:t>
      </w:r>
      <w:r>
        <w:rPr>
          <w:rFonts w:ascii="Arial" w:hAnsi="Arial" w:cs="Arial"/>
          <w:sz w:val="24"/>
          <w:szCs w:val="24"/>
        </w:rPr>
        <w:t>a</w:t>
      </w:r>
      <w:r w:rsidRPr="001B3F7F">
        <w:rPr>
          <w:rFonts w:ascii="Arial" w:hAnsi="Arial" w:cs="Arial"/>
          <w:sz w:val="24"/>
          <w:szCs w:val="24"/>
        </w:rPr>
        <w:t xml:space="preserve"> no último quadrimestre do ano, conforme dispõe </w:t>
      </w:r>
      <w:r>
        <w:rPr>
          <w:rFonts w:ascii="Arial" w:hAnsi="Arial" w:cs="Arial"/>
          <w:sz w:val="24"/>
          <w:szCs w:val="24"/>
        </w:rPr>
        <w:t>o art. 55, III, da</w:t>
      </w:r>
      <w:r w:rsidRPr="001B3F7F">
        <w:rPr>
          <w:rFonts w:ascii="Arial" w:hAnsi="Arial" w:cs="Arial"/>
          <w:sz w:val="24"/>
          <w:szCs w:val="24"/>
        </w:rPr>
        <w:t xml:space="preserve"> Lei de Responsabilidade Fiscal.</w:t>
      </w:r>
    </w:p>
    <w:p w:rsidR="0017244B" w:rsidRDefault="0017244B" w:rsidP="0017244B">
      <w:pPr>
        <w:pStyle w:val="Corpodetexto"/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  <w:r w:rsidRPr="000F1FBA">
        <w:rPr>
          <w:rFonts w:ascii="Arial" w:hAnsi="Arial" w:cs="Arial"/>
          <w:sz w:val="24"/>
          <w:szCs w:val="24"/>
        </w:rPr>
        <w:t xml:space="preserve">Por fim, destaca-se que o Estado possui diversos compromissos a serem quitados, tendo em vista o valor apresentado no item (XXVIII) - Dívida Consolidada, que atualmente se </w:t>
      </w:r>
      <w:r w:rsidRPr="007277D2">
        <w:rPr>
          <w:rFonts w:ascii="Arial" w:hAnsi="Arial" w:cs="Arial"/>
          <w:sz w:val="24"/>
          <w:szCs w:val="24"/>
        </w:rPr>
        <w:t xml:space="preserve">encontra em </w:t>
      </w:r>
      <w:r w:rsidR="007F2097" w:rsidRPr="001B3DF8">
        <w:rPr>
          <w:rFonts w:ascii="Arial" w:hAnsi="Arial" w:cs="Arial"/>
          <w:sz w:val="24"/>
          <w:szCs w:val="24"/>
        </w:rPr>
        <w:t xml:space="preserve">R$ </w:t>
      </w:r>
      <w:r w:rsidR="001B3DF8" w:rsidRPr="001B3DF8">
        <w:rPr>
          <w:rFonts w:ascii="Arial" w:hAnsi="Arial" w:cs="Arial"/>
          <w:sz w:val="24"/>
          <w:szCs w:val="24"/>
        </w:rPr>
        <w:t xml:space="preserve">3.876.133.578,09 </w:t>
      </w:r>
      <w:r w:rsidRPr="001B3DF8">
        <w:rPr>
          <w:rFonts w:ascii="Arial" w:hAnsi="Arial" w:cs="Arial"/>
          <w:sz w:val="24"/>
          <w:szCs w:val="24"/>
        </w:rPr>
        <w:t>(</w:t>
      </w:r>
      <w:r w:rsidR="000F1FBA" w:rsidRPr="001B3DF8">
        <w:rPr>
          <w:rFonts w:ascii="Arial" w:hAnsi="Arial" w:cs="Arial"/>
          <w:sz w:val="24"/>
          <w:szCs w:val="24"/>
        </w:rPr>
        <w:t xml:space="preserve">três bilhões </w:t>
      </w:r>
      <w:r w:rsidR="00FC286F">
        <w:rPr>
          <w:rFonts w:ascii="Arial" w:hAnsi="Arial" w:cs="Arial"/>
          <w:sz w:val="24"/>
          <w:szCs w:val="24"/>
        </w:rPr>
        <w:t>oitocentos e setenta e seis milhões cento e trinta e três mil quinhentos e setenta e oito reais e nove centavos</w:t>
      </w:r>
      <w:r w:rsidRPr="001B3DF8">
        <w:rPr>
          <w:rFonts w:ascii="Arial" w:hAnsi="Arial" w:cs="Arial"/>
          <w:sz w:val="24"/>
          <w:szCs w:val="24"/>
        </w:rPr>
        <w:t>)</w:t>
      </w:r>
      <w:r w:rsidRPr="007163E8">
        <w:rPr>
          <w:rFonts w:ascii="Arial" w:hAnsi="Arial" w:cs="Arial"/>
          <w:sz w:val="24"/>
          <w:szCs w:val="24"/>
        </w:rPr>
        <w:t>.</w:t>
      </w:r>
    </w:p>
    <w:p w:rsidR="00CB2848" w:rsidRDefault="00CB2848" w:rsidP="0017244B">
      <w:pPr>
        <w:pStyle w:val="Corpodetexto"/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</w:p>
    <w:p w:rsidR="00CB2848" w:rsidRDefault="00CB2848" w:rsidP="0017244B">
      <w:pPr>
        <w:pStyle w:val="Corpodetexto"/>
        <w:spacing w:after="120" w:line="276" w:lineRule="auto"/>
        <w:rPr>
          <w:rFonts w:ascii="Arial" w:hAnsi="Arial" w:cs="Arial"/>
          <w:color w:val="FF0000"/>
          <w:sz w:val="24"/>
          <w:szCs w:val="24"/>
        </w:rPr>
      </w:pPr>
    </w:p>
    <w:p w:rsidR="00120BA6" w:rsidRPr="001D6855" w:rsidRDefault="00120BA6" w:rsidP="00BD7F67">
      <w:pPr>
        <w:pStyle w:val="Corpodetexto"/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A64DE8" w:rsidRPr="001B3F7F" w:rsidRDefault="002450F2" w:rsidP="00A64DE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ANEXO</w:t>
      </w:r>
      <w:r w:rsidR="00A64DE8" w:rsidRPr="001B3F7F">
        <w:rPr>
          <w:rFonts w:ascii="Arial" w:hAnsi="Arial" w:cs="Arial"/>
          <w:b/>
          <w:sz w:val="24"/>
          <w:szCs w:val="24"/>
        </w:rPr>
        <w:t xml:space="preserve"> 8 – Educação</w:t>
      </w:r>
      <w:r w:rsidR="00392809">
        <w:rPr>
          <w:rFonts w:ascii="Arial" w:hAnsi="Arial" w:cs="Arial"/>
          <w:b/>
          <w:sz w:val="24"/>
          <w:szCs w:val="24"/>
        </w:rPr>
        <w:t>:</w:t>
      </w:r>
    </w:p>
    <w:p w:rsidR="00A64DE8" w:rsidRPr="00A72AEE" w:rsidRDefault="00A64DE8" w:rsidP="00A64D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3950" w:rsidRDefault="00F13950" w:rsidP="00F1395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>
        <w:rPr>
          <w:rFonts w:ascii="Arial" w:hAnsi="Arial" w:cs="Arial"/>
          <w:b/>
          <w:sz w:val="24"/>
          <w:szCs w:val="24"/>
        </w:rPr>
        <w:t>1</w:t>
      </w:r>
      <w:r w:rsidRPr="001B3F7F">
        <w:rPr>
          <w:rFonts w:ascii="Arial" w:hAnsi="Arial" w:cs="Arial"/>
          <w:b/>
          <w:sz w:val="24"/>
          <w:szCs w:val="24"/>
        </w:rPr>
        <w:t xml:space="preserve"> – Linhas 14 e 20.1</w:t>
      </w:r>
      <w:r w:rsidRPr="001B3F7F">
        <w:rPr>
          <w:rFonts w:ascii="Arial" w:hAnsi="Arial" w:cs="Arial"/>
          <w:sz w:val="24"/>
          <w:szCs w:val="24"/>
        </w:rPr>
        <w:t>: O termo “Profissionais do Magistério” diz respeito aos professores em efetivo exercício em sala de aula</w:t>
      </w:r>
      <w:r>
        <w:rPr>
          <w:rFonts w:ascii="Arial" w:hAnsi="Arial" w:cs="Arial"/>
          <w:sz w:val="24"/>
          <w:szCs w:val="24"/>
        </w:rPr>
        <w:t>, nos termos do art. 22 da Lei nº 11.494/2007</w:t>
      </w:r>
      <w:r w:rsidRPr="001B3F7F">
        <w:rPr>
          <w:rFonts w:ascii="Arial" w:hAnsi="Arial" w:cs="Arial"/>
          <w:sz w:val="24"/>
          <w:szCs w:val="24"/>
        </w:rPr>
        <w:t xml:space="preserve">. Ainda nesta </w:t>
      </w:r>
      <w:r w:rsidRPr="00D32D37">
        <w:rPr>
          <w:rFonts w:ascii="Arial" w:hAnsi="Arial" w:cs="Arial"/>
          <w:color w:val="000000"/>
          <w:sz w:val="24"/>
          <w:szCs w:val="24"/>
        </w:rPr>
        <w:t>senda, resta informar sobre o índice atualmente apresentado</w:t>
      </w:r>
      <w:r w:rsidRPr="00D32D3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72EF">
        <w:rPr>
          <w:rFonts w:ascii="Arial" w:hAnsi="Arial" w:cs="Arial"/>
          <w:color w:val="000000"/>
          <w:sz w:val="24"/>
          <w:szCs w:val="24"/>
        </w:rPr>
        <w:t>75,74</w:t>
      </w:r>
      <w:r w:rsidRPr="00D32D37">
        <w:rPr>
          <w:rFonts w:ascii="Arial" w:hAnsi="Arial" w:cs="Arial"/>
          <w:color w:val="000000"/>
          <w:sz w:val="24"/>
          <w:szCs w:val="24"/>
        </w:rPr>
        <w:t>% (</w:t>
      </w:r>
      <w:r w:rsidR="00624653">
        <w:rPr>
          <w:rFonts w:ascii="Arial" w:hAnsi="Arial" w:cs="Arial"/>
          <w:color w:val="000000"/>
          <w:sz w:val="24"/>
          <w:szCs w:val="24"/>
        </w:rPr>
        <w:t>setenta e cinco vírgula setenta e quatro</w:t>
      </w:r>
      <w:r w:rsidRPr="00D32D37">
        <w:rPr>
          <w:rFonts w:ascii="Arial" w:hAnsi="Arial" w:cs="Arial"/>
          <w:color w:val="000000"/>
          <w:sz w:val="24"/>
          <w:szCs w:val="24"/>
        </w:rPr>
        <w:t>),</w:t>
      </w:r>
      <w:r w:rsidRPr="00D32D3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32D37">
        <w:rPr>
          <w:rFonts w:ascii="Arial" w:hAnsi="Arial" w:cs="Arial"/>
          <w:color w:val="000000"/>
          <w:sz w:val="24"/>
          <w:szCs w:val="24"/>
        </w:rPr>
        <w:t>que se encontra em patamar superior ao mínimo de 60% (sessenta por cento) exigido por Lei, o que demonstra o compromisso do Estado do Acre na contratação e manutenção da educação pública.</w:t>
      </w:r>
    </w:p>
    <w:p w:rsidR="00F13950" w:rsidRPr="00146589" w:rsidRDefault="00F13950" w:rsidP="00F1395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13950" w:rsidRPr="001B3F7F" w:rsidRDefault="00F13950" w:rsidP="00F139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261203">
        <w:rPr>
          <w:rFonts w:ascii="Arial" w:hAnsi="Arial" w:cs="Arial"/>
          <w:b/>
          <w:sz w:val="24"/>
          <w:szCs w:val="24"/>
        </w:rPr>
        <w:t>2</w:t>
      </w:r>
      <w:r w:rsidRPr="001B3F7F">
        <w:rPr>
          <w:rFonts w:ascii="Arial" w:hAnsi="Arial" w:cs="Arial"/>
          <w:b/>
          <w:sz w:val="24"/>
          <w:szCs w:val="24"/>
        </w:rPr>
        <w:t xml:space="preserve"> – Linha 30</w:t>
      </w:r>
      <w:r w:rsidRPr="001B3F7F">
        <w:rPr>
          <w:rFonts w:ascii="Arial" w:hAnsi="Arial" w:cs="Arial"/>
          <w:sz w:val="24"/>
          <w:szCs w:val="24"/>
        </w:rPr>
        <w:t xml:space="preserve">: O valor </w:t>
      </w:r>
      <w:r w:rsidR="00F15B84">
        <w:rPr>
          <w:rFonts w:ascii="Arial" w:hAnsi="Arial" w:cs="Arial"/>
          <w:sz w:val="24"/>
          <w:szCs w:val="24"/>
        </w:rPr>
        <w:t xml:space="preserve">de R$ 219.224.987,01 </w:t>
      </w:r>
      <w:r w:rsidR="00777FC6">
        <w:rPr>
          <w:rFonts w:ascii="Arial" w:hAnsi="Arial" w:cs="Arial"/>
          <w:sz w:val="24"/>
          <w:szCs w:val="24"/>
        </w:rPr>
        <w:t xml:space="preserve">(duzentos e dezenove milhões duzentos e vinte e quatro mil novecentos e oitenta e sete reais e um centavo) </w:t>
      </w:r>
      <w:r w:rsidR="00F15B84">
        <w:rPr>
          <w:rFonts w:ascii="Arial" w:hAnsi="Arial" w:cs="Arial"/>
          <w:sz w:val="24"/>
          <w:szCs w:val="24"/>
        </w:rPr>
        <w:t>apresentado</w:t>
      </w:r>
      <w:r w:rsidRPr="001B3F7F">
        <w:rPr>
          <w:rFonts w:ascii="Arial" w:hAnsi="Arial" w:cs="Arial"/>
          <w:sz w:val="24"/>
          <w:szCs w:val="24"/>
        </w:rPr>
        <w:t xml:space="preserve"> na linha 30, </w:t>
      </w:r>
      <w:r w:rsidR="00336DA2">
        <w:rPr>
          <w:rFonts w:ascii="Arial" w:hAnsi="Arial" w:cs="Arial"/>
          <w:sz w:val="24"/>
          <w:szCs w:val="24"/>
        </w:rPr>
        <w:t xml:space="preserve">equivalente ao </w:t>
      </w:r>
      <w:r w:rsidRPr="001B3F7F">
        <w:rPr>
          <w:rFonts w:ascii="Arial" w:hAnsi="Arial" w:cs="Arial"/>
          <w:sz w:val="24"/>
          <w:szCs w:val="24"/>
        </w:rPr>
        <w:t>Resultado Líquido das Transferências do FUNDEB, refere-se à diferença entre o valor das transferências recebidas do FUNDEB (linha 12.1) deduzido do valor das Receitas Destinadas ao FUNDEB (linha 11). Assim, caso o valor destinado seja superior ao recebido, o saldo aparecerá negativo</w:t>
      </w:r>
      <w:r w:rsidR="00FC4090">
        <w:rPr>
          <w:rFonts w:ascii="Arial" w:hAnsi="Arial" w:cs="Arial"/>
          <w:sz w:val="24"/>
          <w:szCs w:val="24"/>
        </w:rPr>
        <w:t>, como ocorreu neste relatório.</w:t>
      </w:r>
    </w:p>
    <w:p w:rsidR="00F13950" w:rsidRDefault="00F13950" w:rsidP="00F139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sz w:val="24"/>
          <w:szCs w:val="24"/>
        </w:rPr>
        <w:t>Importante ressaltar que o Manual de Demonstrativos Fiscais – MDF, 9ª edição, válido para o exercício de 2019, do Ministério da Fazenda através da Secretaria do Tesouro Nacional – STN, estabelece que:</w:t>
      </w:r>
    </w:p>
    <w:p w:rsidR="00D16FC4" w:rsidRPr="001B3F7F" w:rsidRDefault="00D16FC4" w:rsidP="00D16FC4">
      <w:pPr>
        <w:jc w:val="both"/>
        <w:rPr>
          <w:rFonts w:ascii="Arial" w:hAnsi="Arial" w:cs="Arial"/>
          <w:sz w:val="24"/>
          <w:szCs w:val="24"/>
        </w:rPr>
      </w:pPr>
    </w:p>
    <w:p w:rsidR="00F13950" w:rsidRPr="001B3F7F" w:rsidRDefault="00F13950" w:rsidP="00F13950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i/>
          <w:sz w:val="24"/>
          <w:szCs w:val="24"/>
        </w:rPr>
        <w:t>“(...)</w:t>
      </w:r>
      <w:r w:rsidR="004649B8">
        <w:rPr>
          <w:rFonts w:ascii="Arial" w:hAnsi="Arial" w:cs="Arial"/>
          <w:i/>
          <w:sz w:val="24"/>
          <w:szCs w:val="24"/>
        </w:rPr>
        <w:t xml:space="preserve"> </w:t>
      </w:r>
      <w:r w:rsidRPr="001B3F7F">
        <w:rPr>
          <w:rFonts w:ascii="Arial" w:hAnsi="Arial" w:cs="Arial"/>
          <w:i/>
          <w:sz w:val="24"/>
          <w:szCs w:val="24"/>
        </w:rPr>
        <w:t xml:space="preserve">o ente que receber do FUNDEB um total de recursos menor que o total enviado, poderá considerar a aplicação desse decréscimo para cumprimento do mínimo constitucional.” </w:t>
      </w:r>
      <w:r w:rsidRPr="001B3F7F">
        <w:rPr>
          <w:rFonts w:ascii="Arial" w:hAnsi="Arial" w:cs="Arial"/>
          <w:sz w:val="24"/>
          <w:szCs w:val="24"/>
        </w:rPr>
        <w:t>(p. 305 e 306).</w:t>
      </w:r>
    </w:p>
    <w:p w:rsidR="00F13950" w:rsidRDefault="00F13950" w:rsidP="00A64DE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64DE8" w:rsidRPr="001B3F7F" w:rsidRDefault="00A64DE8" w:rsidP="00A64D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261203">
        <w:rPr>
          <w:rFonts w:ascii="Arial" w:hAnsi="Arial" w:cs="Arial"/>
          <w:b/>
          <w:sz w:val="24"/>
          <w:szCs w:val="24"/>
        </w:rPr>
        <w:t>3</w:t>
      </w:r>
      <w:r w:rsidRPr="001B3F7F">
        <w:rPr>
          <w:rFonts w:ascii="Arial" w:hAnsi="Arial" w:cs="Arial"/>
          <w:b/>
          <w:sz w:val="24"/>
          <w:szCs w:val="24"/>
        </w:rPr>
        <w:t xml:space="preserve"> – Linha 38</w:t>
      </w:r>
      <w:r w:rsidRPr="001B3F7F">
        <w:rPr>
          <w:rFonts w:ascii="Arial" w:hAnsi="Arial" w:cs="Arial"/>
          <w:sz w:val="24"/>
          <w:szCs w:val="24"/>
        </w:rPr>
        <w:t>: O percentual mínimo de aplicação dos recursos líquidos de impostos em educação (art. 212, CF) é acompanhado até o 5º bimestre através dos valores de despesas liquidadas. Somente a partir do 6º bimestre é que o parâmetro para aferição do cumprimento do limite constitucional de 25% (vinte e cinco por cento) passa a ser os valores de despesas empenhadas.</w:t>
      </w:r>
      <w:r w:rsidR="00F70A71">
        <w:rPr>
          <w:rFonts w:ascii="Arial" w:hAnsi="Arial" w:cs="Arial"/>
          <w:sz w:val="24"/>
          <w:szCs w:val="24"/>
        </w:rPr>
        <w:t xml:space="preserve"> Em tal caso, observa-se que o percentual encontra-se acima do mínimo exigido pela Constituição Federal.</w:t>
      </w:r>
    </w:p>
    <w:p w:rsidR="00A64DE8" w:rsidRPr="001B3F7F" w:rsidRDefault="00A64DE8" w:rsidP="00A64D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64DE8" w:rsidRDefault="00A64DE8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261203">
        <w:rPr>
          <w:rFonts w:ascii="Arial" w:hAnsi="Arial" w:cs="Arial"/>
          <w:b/>
          <w:sz w:val="24"/>
          <w:szCs w:val="24"/>
        </w:rPr>
        <w:t>4</w:t>
      </w:r>
      <w:r w:rsidRPr="001B3F7F">
        <w:rPr>
          <w:rFonts w:ascii="Arial" w:hAnsi="Arial" w:cs="Arial"/>
          <w:sz w:val="24"/>
          <w:szCs w:val="24"/>
        </w:rPr>
        <w:t xml:space="preserve">: As despesas com professores inativos e pensionistas, apesar de estarem orçamentariamente incluídas na função </w:t>
      </w:r>
      <w:r w:rsidR="00A34CD5">
        <w:rPr>
          <w:rFonts w:ascii="Arial" w:hAnsi="Arial" w:cs="Arial"/>
          <w:sz w:val="24"/>
          <w:szCs w:val="24"/>
        </w:rPr>
        <w:t xml:space="preserve">da </w:t>
      </w:r>
      <w:r w:rsidRPr="001B3F7F">
        <w:rPr>
          <w:rFonts w:ascii="Arial" w:hAnsi="Arial" w:cs="Arial"/>
          <w:sz w:val="24"/>
          <w:szCs w:val="24"/>
        </w:rPr>
        <w:t>Educação, não são computadas para a base de cálculo de aferição da Manutenção e Desenvolvimento de Ensino – MDE.</w:t>
      </w:r>
    </w:p>
    <w:p w:rsidR="00CB2848" w:rsidRDefault="00CB2848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B2848" w:rsidRDefault="00CB2848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B2848" w:rsidRDefault="00CB2848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B2848" w:rsidRDefault="00CB2848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261203" w:rsidRDefault="00261203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261203" w:rsidRDefault="00261203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261203" w:rsidRDefault="00261203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F47B6A" w:rsidRPr="001B3F7F" w:rsidRDefault="00F47B6A" w:rsidP="00F47B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12</w:t>
      </w:r>
      <w:r w:rsidRPr="001B3F7F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Saúde:</w:t>
      </w:r>
    </w:p>
    <w:p w:rsidR="00F47B6A" w:rsidRPr="00A72AEE" w:rsidRDefault="00F47B6A" w:rsidP="00F47B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7B6A" w:rsidRDefault="00F47B6A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>
        <w:rPr>
          <w:rFonts w:ascii="Arial" w:hAnsi="Arial" w:cs="Arial"/>
          <w:b/>
          <w:sz w:val="24"/>
          <w:szCs w:val="24"/>
        </w:rPr>
        <w:t xml:space="preserve">1 (Fl. 03 – Percentual de Aplicações): </w:t>
      </w:r>
      <w:r>
        <w:rPr>
          <w:rFonts w:ascii="Arial" w:hAnsi="Arial" w:cs="Arial"/>
          <w:sz w:val="24"/>
          <w:szCs w:val="24"/>
        </w:rPr>
        <w:t xml:space="preserve">O percentual mínimo de aplicações em </w:t>
      </w:r>
      <w:r w:rsidR="00B07BD2" w:rsidRPr="00B07BD2">
        <w:rPr>
          <w:rFonts w:ascii="Arial" w:hAnsi="Arial" w:cs="Arial"/>
          <w:sz w:val="24"/>
          <w:szCs w:val="24"/>
        </w:rPr>
        <w:t xml:space="preserve">ações e serviços públicos de saúde </w:t>
      </w:r>
      <w:r>
        <w:rPr>
          <w:rFonts w:ascii="Arial" w:hAnsi="Arial" w:cs="Arial"/>
          <w:sz w:val="24"/>
          <w:szCs w:val="24"/>
        </w:rPr>
        <w:t xml:space="preserve">encontra-se acima do limite mínimo de 12% sobre a Receita </w:t>
      </w:r>
      <w:r w:rsidR="0078418C">
        <w:rPr>
          <w:rFonts w:ascii="Arial" w:hAnsi="Arial" w:cs="Arial"/>
          <w:sz w:val="24"/>
          <w:szCs w:val="24"/>
        </w:rPr>
        <w:t xml:space="preserve">Líquida de Impostos, conforme dispõe a Lei Complementar nº 141/2012. Nesse sentido, o Estado do Acre aplicou </w:t>
      </w:r>
      <w:r w:rsidR="00B453FD">
        <w:rPr>
          <w:rFonts w:ascii="Arial" w:hAnsi="Arial" w:cs="Arial"/>
          <w:sz w:val="24"/>
          <w:szCs w:val="24"/>
        </w:rPr>
        <w:t xml:space="preserve">R$ </w:t>
      </w:r>
      <w:r w:rsidR="00B453FD" w:rsidRPr="00B453FD">
        <w:rPr>
          <w:rFonts w:ascii="Arial" w:hAnsi="Arial" w:cs="Arial"/>
          <w:sz w:val="24"/>
          <w:szCs w:val="24"/>
        </w:rPr>
        <w:t>52.188.389,69</w:t>
      </w:r>
      <w:r w:rsidR="00B453FD" w:rsidRPr="00B453FD">
        <w:rPr>
          <w:rFonts w:ascii="Arial" w:hAnsi="Arial" w:cs="Arial"/>
          <w:b/>
          <w:sz w:val="24"/>
          <w:szCs w:val="24"/>
        </w:rPr>
        <w:t xml:space="preserve"> </w:t>
      </w:r>
      <w:r w:rsidR="00B453FD" w:rsidRPr="00B453FD">
        <w:rPr>
          <w:rFonts w:ascii="Arial" w:hAnsi="Arial" w:cs="Arial"/>
          <w:sz w:val="24"/>
          <w:szCs w:val="24"/>
        </w:rPr>
        <w:t>(cinq</w:t>
      </w:r>
      <w:r w:rsidR="00B453FD">
        <w:rPr>
          <w:rFonts w:ascii="Arial" w:hAnsi="Arial" w:cs="Arial"/>
          <w:sz w:val="24"/>
          <w:szCs w:val="24"/>
        </w:rPr>
        <w:t>u</w:t>
      </w:r>
      <w:r w:rsidR="00B453FD" w:rsidRPr="00B453FD">
        <w:rPr>
          <w:rFonts w:ascii="Arial" w:hAnsi="Arial" w:cs="Arial"/>
          <w:sz w:val="24"/>
          <w:szCs w:val="24"/>
        </w:rPr>
        <w:t>enta e dois milhões cento e oitenta e oito mil trezentos e oitenta e nove reais e sessenta e nove centavos)</w:t>
      </w:r>
      <w:r w:rsidR="00B453FD">
        <w:rPr>
          <w:rFonts w:ascii="Arial" w:hAnsi="Arial" w:cs="Arial"/>
          <w:color w:val="FF0000"/>
          <w:sz w:val="24"/>
          <w:szCs w:val="24"/>
        </w:rPr>
        <w:t xml:space="preserve"> </w:t>
      </w:r>
      <w:r w:rsidR="0078418C">
        <w:rPr>
          <w:rFonts w:ascii="Arial" w:hAnsi="Arial" w:cs="Arial"/>
          <w:sz w:val="24"/>
          <w:szCs w:val="24"/>
        </w:rPr>
        <w:t xml:space="preserve">acima do limite mínimo em ações de Saúde. </w:t>
      </w: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A5DBD" w:rsidRDefault="00CA5DBD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A5DBD" w:rsidRDefault="00CA5DBD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A5DBD" w:rsidRDefault="00CA5DBD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A5DBD" w:rsidRDefault="00CA5DBD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A5DBD" w:rsidRDefault="00CA5DBD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7527BB" w:rsidRDefault="007527BB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7527BB" w:rsidRDefault="007527BB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A5DBD" w:rsidRDefault="00CA5DBD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Pr="001B3F7F" w:rsidRDefault="00973534" w:rsidP="0097353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13</w:t>
      </w:r>
      <w:r w:rsidRPr="001B3F7F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Demonstrativo das Parcerias Público-Privadas (PPP):</w:t>
      </w: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P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01:</w:t>
      </w:r>
      <w:r>
        <w:rPr>
          <w:rFonts w:ascii="Arial" w:hAnsi="Arial" w:cs="Arial"/>
          <w:sz w:val="24"/>
          <w:szCs w:val="24"/>
        </w:rPr>
        <w:t xml:space="preserve"> O Estado do Acre não possui Parcerias Público-Privada (PPP). </w:t>
      </w:r>
    </w:p>
    <w:sectPr w:rsidR="00973534" w:rsidRPr="00973534" w:rsidSect="00641FD7">
      <w:headerReference w:type="default" r:id="rId8"/>
      <w:footerReference w:type="default" r:id="rId9"/>
      <w:footnotePr>
        <w:pos w:val="beneathText"/>
      </w:footnotePr>
      <w:pgSz w:w="11905" w:h="16837" w:code="9"/>
      <w:pgMar w:top="1418" w:right="848" w:bottom="992" w:left="1701" w:header="284" w:footer="694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C7" w:rsidRDefault="00D94DC7">
      <w:r>
        <w:separator/>
      </w:r>
    </w:p>
  </w:endnote>
  <w:endnote w:type="continuationSeparator" w:id="1">
    <w:p w:rsidR="00D94DC7" w:rsidRDefault="00D9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BF" w:rsidRDefault="004767BF" w:rsidP="00640FCF">
    <w:pPr>
      <w:pStyle w:val="Rodap"/>
      <w:pBdr>
        <w:right w:val="single" w:sz="4" w:space="4" w:color="auto"/>
      </w:pBdr>
      <w:jc w:val="right"/>
      <w:rPr>
        <w:rFonts w:ascii="Arial" w:hAnsi="Arial" w:cs="Arial"/>
        <w:sz w:val="16"/>
        <w:szCs w:val="16"/>
        <w:lang/>
      </w:rPr>
    </w:pPr>
    <w:r>
      <w:rPr>
        <w:rFonts w:ascii="Arial" w:hAnsi="Arial" w:cs="Arial"/>
        <w:sz w:val="16"/>
        <w:szCs w:val="16"/>
        <w:lang/>
      </w:rPr>
      <w:pict>
        <v:rect id="_x0000_i1026" style="width:0;height:1.5pt" o:hralign="center" o:hrstd="t" o:hr="t" fillcolor="#a0a0a0" stroked="f"/>
      </w:pict>
    </w:r>
  </w:p>
  <w:p w:rsidR="00CD5BD6" w:rsidRPr="00D376D9" w:rsidRDefault="00CD5BD6" w:rsidP="00640FCF">
    <w:pPr>
      <w:pStyle w:val="Rodap"/>
      <w:pBdr>
        <w:right w:val="single" w:sz="4" w:space="4" w:color="auto"/>
      </w:pBdr>
      <w:jc w:val="right"/>
      <w:rPr>
        <w:rFonts w:ascii="Arial" w:hAnsi="Arial" w:cs="Arial"/>
        <w:sz w:val="16"/>
        <w:szCs w:val="16"/>
        <w:lang/>
      </w:rPr>
    </w:pPr>
    <w:r w:rsidRPr="00D376D9">
      <w:rPr>
        <w:rFonts w:ascii="Arial" w:hAnsi="Arial" w:cs="Arial"/>
        <w:sz w:val="16"/>
        <w:szCs w:val="16"/>
        <w:lang/>
      </w:rPr>
      <w:t>Rua Benjamin Constant, 946 - Centro - CEP: 69.900-062. Rio Branco/Acre</w:t>
    </w:r>
  </w:p>
  <w:p w:rsidR="00CD5BD6" w:rsidRDefault="00CD5BD6" w:rsidP="00640FCF">
    <w:pPr>
      <w:pStyle w:val="Rodap"/>
      <w:pBdr>
        <w:right w:val="single" w:sz="4" w:space="4" w:color="auto"/>
      </w:pBdr>
      <w:jc w:val="right"/>
      <w:rPr>
        <w:rFonts w:ascii="Arial" w:eastAsia="Arial Unicode MS" w:hAnsi="Arial" w:cs="Arial"/>
        <w:sz w:val="16"/>
        <w:szCs w:val="16"/>
        <w:lang/>
      </w:rPr>
    </w:pPr>
    <w:r w:rsidRPr="00D376D9">
      <w:rPr>
        <w:rFonts w:ascii="Arial" w:eastAsia="Arial Unicode MS" w:hAnsi="Arial" w:cs="Arial"/>
        <w:sz w:val="16"/>
        <w:szCs w:val="16"/>
        <w:lang w:val="pt-BR"/>
      </w:rPr>
      <w:t xml:space="preserve"> (68) 32</w:t>
    </w:r>
    <w:r w:rsidRPr="00D376D9">
      <w:rPr>
        <w:rFonts w:ascii="Arial" w:eastAsia="Arial Unicode MS" w:hAnsi="Arial" w:cs="Arial"/>
        <w:sz w:val="16"/>
        <w:szCs w:val="16"/>
        <w:lang/>
      </w:rPr>
      <w:t>15.2079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C7" w:rsidRDefault="00D94DC7">
      <w:r>
        <w:separator/>
      </w:r>
    </w:p>
  </w:footnote>
  <w:footnote w:type="continuationSeparator" w:id="1">
    <w:p w:rsidR="00D94DC7" w:rsidRDefault="00D94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6" w:type="dxa"/>
      <w:tblLayout w:type="fixed"/>
      <w:tblCellMar>
        <w:left w:w="0" w:type="dxa"/>
        <w:right w:w="0" w:type="dxa"/>
      </w:tblCellMar>
      <w:tblLook w:val="04A0"/>
    </w:tblPr>
    <w:tblGrid>
      <w:gridCol w:w="1046"/>
      <w:gridCol w:w="3068"/>
      <w:gridCol w:w="1011"/>
      <w:gridCol w:w="3981"/>
    </w:tblGrid>
    <w:tr w:rsidR="00641FD7" w:rsidRPr="00345253" w:rsidTr="00FB3A9B">
      <w:tblPrEx>
        <w:tblCellMar>
          <w:top w:w="0" w:type="dxa"/>
          <w:bottom w:w="0" w:type="dxa"/>
        </w:tblCellMar>
      </w:tblPrEx>
      <w:trPr>
        <w:trHeight w:hRule="exact" w:val="1567"/>
      </w:trPr>
      <w:tc>
        <w:tcPr>
          <w:tcW w:w="104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Default="001C74C5" w:rsidP="00FB3A9B">
          <w:pPr>
            <w:spacing w:before="540"/>
            <w:jc w:val="center"/>
            <w:rPr>
              <w:rFonts w:ascii="Arial" w:hAnsi="Arial"/>
              <w:color w:val="000000"/>
              <w:sz w:val="23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-104140</wp:posOffset>
                </wp:positionH>
                <wp:positionV relativeFrom="margin">
                  <wp:posOffset>161925</wp:posOffset>
                </wp:positionV>
                <wp:extent cx="720725" cy="914400"/>
                <wp:effectExtent l="19050" t="0" r="3175" b="0"/>
                <wp:wrapNone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6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Default="00641FD7" w:rsidP="00641FD7">
          <w:pPr>
            <w:ind w:right="540"/>
            <w:rPr>
              <w:rFonts w:ascii="Arial" w:hAnsi="Arial" w:cs="Arial"/>
              <w:b/>
              <w:color w:val="000000"/>
              <w:w w:val="105"/>
              <w:sz w:val="24"/>
            </w:rPr>
          </w:pPr>
        </w:p>
        <w:p w:rsidR="00641FD7" w:rsidRDefault="00641FD7" w:rsidP="00FB3A9B">
          <w:pPr>
            <w:ind w:left="216" w:right="540"/>
            <w:rPr>
              <w:rFonts w:ascii="Arial" w:hAnsi="Arial" w:cs="Arial"/>
              <w:b/>
              <w:color w:val="000000"/>
              <w:w w:val="105"/>
              <w:sz w:val="24"/>
            </w:rPr>
          </w:pPr>
        </w:p>
        <w:p w:rsidR="00641FD7" w:rsidRPr="006E54E3" w:rsidRDefault="00641FD7" w:rsidP="00D54CCF">
          <w:pPr>
            <w:ind w:left="216" w:right="540"/>
            <w:rPr>
              <w:rFonts w:ascii="Arial" w:hAnsi="Arial" w:cs="Arial"/>
              <w:b/>
              <w:color w:val="000000"/>
              <w:w w:val="105"/>
              <w:sz w:val="24"/>
            </w:rPr>
          </w:pPr>
          <w:r w:rsidRPr="006E54E3">
            <w:rPr>
              <w:rFonts w:ascii="Arial" w:hAnsi="Arial" w:cs="Arial"/>
              <w:b/>
              <w:color w:val="000000"/>
              <w:w w:val="105"/>
              <w:sz w:val="24"/>
            </w:rPr>
            <w:t xml:space="preserve">GOVERNO DO </w:t>
          </w:r>
          <w:r w:rsidRPr="006E54E3">
            <w:rPr>
              <w:rFonts w:ascii="Arial" w:hAnsi="Arial" w:cs="Arial"/>
              <w:b/>
              <w:color w:val="000000"/>
              <w:spacing w:val="-17"/>
              <w:w w:val="105"/>
              <w:sz w:val="24"/>
            </w:rPr>
            <w:t>ESTADO DO ACRE</w:t>
          </w:r>
        </w:p>
        <w:p w:rsidR="00641FD7" w:rsidRDefault="00641FD7" w:rsidP="00FB3A9B">
          <w:pPr>
            <w:spacing w:line="266" w:lineRule="auto"/>
            <w:ind w:left="216"/>
            <w:rPr>
              <w:rFonts w:ascii="Arial" w:hAnsi="Arial"/>
              <w:spacing w:val="-6"/>
              <w:sz w:val="19"/>
            </w:rPr>
          </w:pPr>
          <w:r w:rsidRPr="007B2D41">
            <w:rPr>
              <w:rFonts w:ascii="Arial" w:hAnsi="Arial"/>
              <w:spacing w:val="-6"/>
              <w:sz w:val="19"/>
              <w:u w:val="single"/>
            </w:rPr>
            <w:t>www.ac.gov.br</w:t>
          </w:r>
        </w:p>
        <w:p w:rsidR="00641FD7" w:rsidRPr="00345253" w:rsidRDefault="00641FD7" w:rsidP="00FB3A9B"/>
      </w:tc>
      <w:tc>
        <w:tcPr>
          <w:tcW w:w="1011" w:type="dxa"/>
          <w:shd w:val="clear" w:color="auto" w:fill="auto"/>
        </w:tcPr>
        <w:p w:rsidR="00641FD7" w:rsidRDefault="00641FD7" w:rsidP="00FB3A9B"/>
        <w:p w:rsidR="00641FD7" w:rsidRPr="006E54E3" w:rsidRDefault="00641FD7" w:rsidP="00FB3A9B"/>
        <w:p w:rsidR="00641FD7" w:rsidRPr="006E54E3" w:rsidRDefault="00641FD7" w:rsidP="00FB3A9B"/>
        <w:p w:rsidR="00641FD7" w:rsidRDefault="00641FD7" w:rsidP="00FB3A9B"/>
        <w:p w:rsidR="00641FD7" w:rsidRPr="006E54E3" w:rsidRDefault="00641FD7" w:rsidP="00FB3A9B"/>
      </w:tc>
      <w:tc>
        <w:tcPr>
          <w:tcW w:w="3981" w:type="dxa"/>
          <w:tcBorders>
            <w:top w:val="none" w:sz="0" w:space="0" w:color="000000"/>
            <w:left w:val="nil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Default="00641FD7" w:rsidP="00FB3A9B">
          <w:pPr>
            <w:ind w:right="63"/>
            <w:jc w:val="right"/>
            <w:rPr>
              <w:rFonts w:ascii="Arial" w:hAnsi="Arial"/>
              <w:color w:val="000000"/>
              <w:spacing w:val="4"/>
              <w:sz w:val="18"/>
            </w:rPr>
          </w:pPr>
        </w:p>
        <w:p w:rsidR="00641FD7" w:rsidRDefault="00641FD7" w:rsidP="00FB3A9B">
          <w:pPr>
            <w:ind w:right="63"/>
            <w:jc w:val="right"/>
            <w:rPr>
              <w:rFonts w:ascii="Arial" w:hAnsi="Arial"/>
              <w:color w:val="000000"/>
              <w:spacing w:val="4"/>
              <w:sz w:val="18"/>
            </w:rPr>
          </w:pPr>
        </w:p>
        <w:p w:rsidR="00641FD7" w:rsidRDefault="00641FD7" w:rsidP="00FB3A9B">
          <w:pPr>
            <w:ind w:right="63"/>
            <w:jc w:val="right"/>
            <w:rPr>
              <w:rFonts w:ascii="Arial" w:hAnsi="Arial"/>
              <w:color w:val="000000"/>
              <w:spacing w:val="4"/>
              <w:sz w:val="18"/>
            </w:rPr>
          </w:pPr>
        </w:p>
        <w:p w:rsidR="00641FD7" w:rsidRPr="006E54E3" w:rsidRDefault="00641FD7" w:rsidP="00FB3A9B">
          <w:pPr>
            <w:ind w:right="63"/>
            <w:jc w:val="right"/>
            <w:rPr>
              <w:rFonts w:ascii="Arial" w:hAnsi="Arial"/>
              <w:color w:val="000000"/>
              <w:spacing w:val="4"/>
            </w:rPr>
          </w:pPr>
          <w:r w:rsidRPr="006E54E3">
            <w:rPr>
              <w:rFonts w:ascii="Arial" w:hAnsi="Arial"/>
              <w:color w:val="000000"/>
              <w:spacing w:val="4"/>
            </w:rPr>
            <w:t>SECRETARIA DE ESTADO DA</w:t>
          </w:r>
        </w:p>
        <w:p w:rsidR="00641FD7" w:rsidRPr="00345253" w:rsidRDefault="00641FD7" w:rsidP="00FB3A9B">
          <w:pPr>
            <w:spacing w:before="72" w:line="208" w:lineRule="auto"/>
            <w:ind w:right="63"/>
            <w:jc w:val="right"/>
            <w:rPr>
              <w:rFonts w:ascii="Arial" w:hAnsi="Arial"/>
              <w:b/>
              <w:color w:val="000000"/>
              <w:spacing w:val="-2"/>
              <w:sz w:val="29"/>
            </w:rPr>
          </w:pPr>
          <w:r w:rsidRPr="006E54E3">
            <w:rPr>
              <w:rFonts w:ascii="Arial" w:hAnsi="Arial"/>
              <w:b/>
              <w:color w:val="000000"/>
              <w:spacing w:val="-2"/>
              <w:sz w:val="28"/>
            </w:rPr>
            <w:t>FAZENDA</w:t>
          </w:r>
        </w:p>
      </w:tc>
    </w:tr>
    <w:tr w:rsidR="00641FD7" w:rsidRPr="00345253" w:rsidTr="00FB3A9B">
      <w:tblPrEx>
        <w:tblCellMar>
          <w:top w:w="0" w:type="dxa"/>
          <w:bottom w:w="0" w:type="dxa"/>
        </w:tblCellMar>
      </w:tblPrEx>
      <w:trPr>
        <w:trHeight w:hRule="exact" w:val="29"/>
      </w:trPr>
      <w:tc>
        <w:tcPr>
          <w:tcW w:w="104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Pr="00345253" w:rsidRDefault="00641FD7" w:rsidP="00FB3A9B"/>
      </w:tc>
      <w:tc>
        <w:tcPr>
          <w:tcW w:w="306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Pr="00345253" w:rsidRDefault="00641FD7" w:rsidP="00FB3A9B"/>
      </w:tc>
      <w:tc>
        <w:tcPr>
          <w:tcW w:w="1011" w:type="dxa"/>
          <w:tcBorders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Pr="00345253" w:rsidRDefault="00641FD7" w:rsidP="00FB3A9B"/>
      </w:tc>
      <w:tc>
        <w:tcPr>
          <w:tcW w:w="3981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Pr="00345253" w:rsidRDefault="00641FD7" w:rsidP="00FB3A9B"/>
      </w:tc>
    </w:tr>
  </w:tbl>
  <w:p w:rsidR="00343198" w:rsidRPr="00641FD7" w:rsidRDefault="00641FD7" w:rsidP="00641FD7">
    <w:pPr>
      <w:pStyle w:val="Cabealho"/>
      <w:rPr>
        <w:rFonts w:eastAsia="Arial Unicode MS"/>
        <w:szCs w:val="24"/>
      </w:rPr>
    </w:pPr>
    <w:r>
      <w:rPr>
        <w:rFonts w:ascii="Arial" w:hAnsi="Arial" w:cs="Arial"/>
        <w:sz w:val="16"/>
        <w:szCs w:val="16"/>
        <w:lang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490" w:hanging="2130"/>
      </w:pPr>
      <w:rPr>
        <w:rFonts w:hint="default"/>
        <w:b w:val="0"/>
        <w:sz w:val="24"/>
        <w:szCs w:val="24"/>
        <w:lang/>
      </w:rPr>
    </w:lvl>
  </w:abstractNum>
  <w:abstractNum w:abstractNumId="3">
    <w:nsid w:val="01570262"/>
    <w:multiLevelType w:val="hybridMultilevel"/>
    <w:tmpl w:val="22E64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31EF0"/>
    <w:multiLevelType w:val="hybridMultilevel"/>
    <w:tmpl w:val="44F0FC3A"/>
    <w:lvl w:ilvl="0" w:tplc="924AC71E">
      <w:start w:val="1"/>
      <w:numFmt w:val="decimal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849AD"/>
    <w:multiLevelType w:val="hybridMultilevel"/>
    <w:tmpl w:val="02CA52D6"/>
    <w:lvl w:ilvl="0" w:tplc="2980779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D1EED"/>
    <w:multiLevelType w:val="hybridMultilevel"/>
    <w:tmpl w:val="2E5E5766"/>
    <w:lvl w:ilvl="0" w:tplc="8CA2C1CC">
      <w:start w:val="1"/>
      <w:numFmt w:val="decimal"/>
      <w:lvlText w:val="%1."/>
      <w:lvlJc w:val="left"/>
      <w:pPr>
        <w:tabs>
          <w:tab w:val="num" w:pos="3912"/>
        </w:tabs>
        <w:ind w:left="3912" w:hanging="142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7">
    <w:nsid w:val="634A5FAA"/>
    <w:multiLevelType w:val="hybridMultilevel"/>
    <w:tmpl w:val="B330CD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58262E"/>
    <w:multiLevelType w:val="hybridMultilevel"/>
    <w:tmpl w:val="7CEAB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31F4"/>
    <w:rsid w:val="00001DAE"/>
    <w:rsid w:val="00004A60"/>
    <w:rsid w:val="00010A36"/>
    <w:rsid w:val="00011606"/>
    <w:rsid w:val="00017C1A"/>
    <w:rsid w:val="00017FA0"/>
    <w:rsid w:val="00023714"/>
    <w:rsid w:val="00027AD0"/>
    <w:rsid w:val="00027D99"/>
    <w:rsid w:val="0003010A"/>
    <w:rsid w:val="00032165"/>
    <w:rsid w:val="00036F4C"/>
    <w:rsid w:val="000377AC"/>
    <w:rsid w:val="00045743"/>
    <w:rsid w:val="0004621D"/>
    <w:rsid w:val="00046563"/>
    <w:rsid w:val="00046E97"/>
    <w:rsid w:val="000470A5"/>
    <w:rsid w:val="00047ACB"/>
    <w:rsid w:val="00047FB5"/>
    <w:rsid w:val="0005260D"/>
    <w:rsid w:val="00052863"/>
    <w:rsid w:val="000568FD"/>
    <w:rsid w:val="00057644"/>
    <w:rsid w:val="00057883"/>
    <w:rsid w:val="00061AF6"/>
    <w:rsid w:val="000639A7"/>
    <w:rsid w:val="00063D45"/>
    <w:rsid w:val="00064C4C"/>
    <w:rsid w:val="00072F1F"/>
    <w:rsid w:val="00073AEF"/>
    <w:rsid w:val="000753AE"/>
    <w:rsid w:val="0007558C"/>
    <w:rsid w:val="0007596C"/>
    <w:rsid w:val="00080E36"/>
    <w:rsid w:val="00084211"/>
    <w:rsid w:val="00084B3D"/>
    <w:rsid w:val="000854A2"/>
    <w:rsid w:val="00092965"/>
    <w:rsid w:val="00097615"/>
    <w:rsid w:val="000978AA"/>
    <w:rsid w:val="00097D47"/>
    <w:rsid w:val="000A1E53"/>
    <w:rsid w:val="000A2C5E"/>
    <w:rsid w:val="000A2D97"/>
    <w:rsid w:val="000A3A8D"/>
    <w:rsid w:val="000A3F36"/>
    <w:rsid w:val="000A461B"/>
    <w:rsid w:val="000A4B82"/>
    <w:rsid w:val="000B0B02"/>
    <w:rsid w:val="000B580D"/>
    <w:rsid w:val="000C1058"/>
    <w:rsid w:val="000C7683"/>
    <w:rsid w:val="000D2145"/>
    <w:rsid w:val="000D6E17"/>
    <w:rsid w:val="000D7442"/>
    <w:rsid w:val="000E12A7"/>
    <w:rsid w:val="000E1FD7"/>
    <w:rsid w:val="000E3682"/>
    <w:rsid w:val="000E5F32"/>
    <w:rsid w:val="000F1FBA"/>
    <w:rsid w:val="000F3B2D"/>
    <w:rsid w:val="000F70DA"/>
    <w:rsid w:val="0010156F"/>
    <w:rsid w:val="001016E4"/>
    <w:rsid w:val="00103EE6"/>
    <w:rsid w:val="00104756"/>
    <w:rsid w:val="00105102"/>
    <w:rsid w:val="0010573C"/>
    <w:rsid w:val="00105C18"/>
    <w:rsid w:val="001075CB"/>
    <w:rsid w:val="00110C37"/>
    <w:rsid w:val="001158D0"/>
    <w:rsid w:val="00115941"/>
    <w:rsid w:val="00115CE6"/>
    <w:rsid w:val="00116DE3"/>
    <w:rsid w:val="00116EF1"/>
    <w:rsid w:val="00117180"/>
    <w:rsid w:val="00120BA6"/>
    <w:rsid w:val="00126460"/>
    <w:rsid w:val="0012731C"/>
    <w:rsid w:val="00131574"/>
    <w:rsid w:val="00132F91"/>
    <w:rsid w:val="0013607E"/>
    <w:rsid w:val="00136E73"/>
    <w:rsid w:val="001370B0"/>
    <w:rsid w:val="001372B1"/>
    <w:rsid w:val="00142E91"/>
    <w:rsid w:val="00142F24"/>
    <w:rsid w:val="0014300B"/>
    <w:rsid w:val="00146589"/>
    <w:rsid w:val="0014798B"/>
    <w:rsid w:val="001517F9"/>
    <w:rsid w:val="00153DC0"/>
    <w:rsid w:val="001556AC"/>
    <w:rsid w:val="00156700"/>
    <w:rsid w:val="0015688B"/>
    <w:rsid w:val="00156E11"/>
    <w:rsid w:val="001579E4"/>
    <w:rsid w:val="00164744"/>
    <w:rsid w:val="001659B0"/>
    <w:rsid w:val="00171514"/>
    <w:rsid w:val="0017244B"/>
    <w:rsid w:val="00176024"/>
    <w:rsid w:val="0018334A"/>
    <w:rsid w:val="00183E28"/>
    <w:rsid w:val="00186306"/>
    <w:rsid w:val="00186E1A"/>
    <w:rsid w:val="001914D5"/>
    <w:rsid w:val="00192041"/>
    <w:rsid w:val="001962F6"/>
    <w:rsid w:val="001A4594"/>
    <w:rsid w:val="001A5829"/>
    <w:rsid w:val="001A7427"/>
    <w:rsid w:val="001A7A5D"/>
    <w:rsid w:val="001B2E03"/>
    <w:rsid w:val="001B360A"/>
    <w:rsid w:val="001B3DF8"/>
    <w:rsid w:val="001B3F7F"/>
    <w:rsid w:val="001B50E3"/>
    <w:rsid w:val="001B66E1"/>
    <w:rsid w:val="001B6F4F"/>
    <w:rsid w:val="001B72F1"/>
    <w:rsid w:val="001C02A1"/>
    <w:rsid w:val="001C2893"/>
    <w:rsid w:val="001C47C7"/>
    <w:rsid w:val="001C74C5"/>
    <w:rsid w:val="001C766E"/>
    <w:rsid w:val="001C76DB"/>
    <w:rsid w:val="001D31D3"/>
    <w:rsid w:val="001D6855"/>
    <w:rsid w:val="001E0A42"/>
    <w:rsid w:val="001E563C"/>
    <w:rsid w:val="001E7374"/>
    <w:rsid w:val="001F31C8"/>
    <w:rsid w:val="001F5871"/>
    <w:rsid w:val="00200C87"/>
    <w:rsid w:val="00206C04"/>
    <w:rsid w:val="002179C4"/>
    <w:rsid w:val="0022445C"/>
    <w:rsid w:val="0022515F"/>
    <w:rsid w:val="0022567E"/>
    <w:rsid w:val="0022773C"/>
    <w:rsid w:val="00230C12"/>
    <w:rsid w:val="0023286D"/>
    <w:rsid w:val="00232936"/>
    <w:rsid w:val="0023518F"/>
    <w:rsid w:val="00236228"/>
    <w:rsid w:val="002367E5"/>
    <w:rsid w:val="00237187"/>
    <w:rsid w:val="0024269B"/>
    <w:rsid w:val="0024340A"/>
    <w:rsid w:val="002450F2"/>
    <w:rsid w:val="00245A0E"/>
    <w:rsid w:val="00245DAE"/>
    <w:rsid w:val="00247279"/>
    <w:rsid w:val="0024753B"/>
    <w:rsid w:val="00250A49"/>
    <w:rsid w:val="00250CA5"/>
    <w:rsid w:val="00252414"/>
    <w:rsid w:val="002524DA"/>
    <w:rsid w:val="002525E0"/>
    <w:rsid w:val="00253498"/>
    <w:rsid w:val="0025352D"/>
    <w:rsid w:val="002538AA"/>
    <w:rsid w:val="00254AEB"/>
    <w:rsid w:val="002550F5"/>
    <w:rsid w:val="00260718"/>
    <w:rsid w:val="00260B96"/>
    <w:rsid w:val="00261203"/>
    <w:rsid w:val="00262046"/>
    <w:rsid w:val="00262645"/>
    <w:rsid w:val="00263D42"/>
    <w:rsid w:val="00266748"/>
    <w:rsid w:val="00266F00"/>
    <w:rsid w:val="00270A3D"/>
    <w:rsid w:val="00275415"/>
    <w:rsid w:val="00275AE0"/>
    <w:rsid w:val="00276864"/>
    <w:rsid w:val="00277BC4"/>
    <w:rsid w:val="00282228"/>
    <w:rsid w:val="002911F8"/>
    <w:rsid w:val="00291F76"/>
    <w:rsid w:val="00293B66"/>
    <w:rsid w:val="00295022"/>
    <w:rsid w:val="002A046E"/>
    <w:rsid w:val="002A317C"/>
    <w:rsid w:val="002A3A7F"/>
    <w:rsid w:val="002A6EB6"/>
    <w:rsid w:val="002B4EFB"/>
    <w:rsid w:val="002C1C93"/>
    <w:rsid w:val="002C4291"/>
    <w:rsid w:val="002C44CE"/>
    <w:rsid w:val="002C6BF9"/>
    <w:rsid w:val="002D219F"/>
    <w:rsid w:val="002D35E6"/>
    <w:rsid w:val="002D5C70"/>
    <w:rsid w:val="002E54BC"/>
    <w:rsid w:val="002E7C63"/>
    <w:rsid w:val="002F0E11"/>
    <w:rsid w:val="002F38B6"/>
    <w:rsid w:val="002F4909"/>
    <w:rsid w:val="002F62A0"/>
    <w:rsid w:val="002F6B3E"/>
    <w:rsid w:val="002F752C"/>
    <w:rsid w:val="003031DF"/>
    <w:rsid w:val="00303FB9"/>
    <w:rsid w:val="003062F8"/>
    <w:rsid w:val="003066B1"/>
    <w:rsid w:val="003066C6"/>
    <w:rsid w:val="0031202D"/>
    <w:rsid w:val="0031421F"/>
    <w:rsid w:val="00317C2F"/>
    <w:rsid w:val="00324851"/>
    <w:rsid w:val="00330810"/>
    <w:rsid w:val="00331DDD"/>
    <w:rsid w:val="0033448E"/>
    <w:rsid w:val="00336DA2"/>
    <w:rsid w:val="00340176"/>
    <w:rsid w:val="00343198"/>
    <w:rsid w:val="00343AF6"/>
    <w:rsid w:val="0034735D"/>
    <w:rsid w:val="00350B6C"/>
    <w:rsid w:val="00351D48"/>
    <w:rsid w:val="00351F7C"/>
    <w:rsid w:val="00363CE8"/>
    <w:rsid w:val="00370B87"/>
    <w:rsid w:val="003724EE"/>
    <w:rsid w:val="00373997"/>
    <w:rsid w:val="00373B68"/>
    <w:rsid w:val="00375EE0"/>
    <w:rsid w:val="00375FBA"/>
    <w:rsid w:val="0037786A"/>
    <w:rsid w:val="003850A3"/>
    <w:rsid w:val="00392809"/>
    <w:rsid w:val="003970AE"/>
    <w:rsid w:val="003A3A62"/>
    <w:rsid w:val="003A3CB2"/>
    <w:rsid w:val="003A7A7C"/>
    <w:rsid w:val="003B0C27"/>
    <w:rsid w:val="003B1CE7"/>
    <w:rsid w:val="003B76B5"/>
    <w:rsid w:val="003C04CE"/>
    <w:rsid w:val="003C65F4"/>
    <w:rsid w:val="003C7CC1"/>
    <w:rsid w:val="003D1F0A"/>
    <w:rsid w:val="003D48FC"/>
    <w:rsid w:val="003D4ADF"/>
    <w:rsid w:val="003D5429"/>
    <w:rsid w:val="003D598C"/>
    <w:rsid w:val="003E0800"/>
    <w:rsid w:val="003E192D"/>
    <w:rsid w:val="003E1E8D"/>
    <w:rsid w:val="003E33CE"/>
    <w:rsid w:val="003E460E"/>
    <w:rsid w:val="003E744C"/>
    <w:rsid w:val="004014C3"/>
    <w:rsid w:val="00402384"/>
    <w:rsid w:val="0040401C"/>
    <w:rsid w:val="004046C9"/>
    <w:rsid w:val="00404D42"/>
    <w:rsid w:val="00404F0D"/>
    <w:rsid w:val="0040552D"/>
    <w:rsid w:val="004055D4"/>
    <w:rsid w:val="00405BF1"/>
    <w:rsid w:val="00411CB0"/>
    <w:rsid w:val="00412FD9"/>
    <w:rsid w:val="00413AC7"/>
    <w:rsid w:val="00422040"/>
    <w:rsid w:val="00424C9C"/>
    <w:rsid w:val="004255AF"/>
    <w:rsid w:val="00425620"/>
    <w:rsid w:val="0043070D"/>
    <w:rsid w:val="0043127A"/>
    <w:rsid w:val="00431751"/>
    <w:rsid w:val="004358C0"/>
    <w:rsid w:val="00440223"/>
    <w:rsid w:val="004429BB"/>
    <w:rsid w:val="0044337E"/>
    <w:rsid w:val="00444ECD"/>
    <w:rsid w:val="00445676"/>
    <w:rsid w:val="004458BE"/>
    <w:rsid w:val="0044716B"/>
    <w:rsid w:val="00447826"/>
    <w:rsid w:val="00450883"/>
    <w:rsid w:val="004553E7"/>
    <w:rsid w:val="00455414"/>
    <w:rsid w:val="00455C06"/>
    <w:rsid w:val="004572EF"/>
    <w:rsid w:val="00463354"/>
    <w:rsid w:val="004649B8"/>
    <w:rsid w:val="00465AB3"/>
    <w:rsid w:val="004676A8"/>
    <w:rsid w:val="00467C6D"/>
    <w:rsid w:val="0047178A"/>
    <w:rsid w:val="0047232B"/>
    <w:rsid w:val="00472F5B"/>
    <w:rsid w:val="00473250"/>
    <w:rsid w:val="00473C3C"/>
    <w:rsid w:val="004767BF"/>
    <w:rsid w:val="00480109"/>
    <w:rsid w:val="00484399"/>
    <w:rsid w:val="0049005F"/>
    <w:rsid w:val="004917A0"/>
    <w:rsid w:val="00492252"/>
    <w:rsid w:val="00493ABF"/>
    <w:rsid w:val="00496F29"/>
    <w:rsid w:val="004A2856"/>
    <w:rsid w:val="004A2D85"/>
    <w:rsid w:val="004A5EFE"/>
    <w:rsid w:val="004A6170"/>
    <w:rsid w:val="004A69AB"/>
    <w:rsid w:val="004C16F1"/>
    <w:rsid w:val="004C222B"/>
    <w:rsid w:val="004C2FFE"/>
    <w:rsid w:val="004C38E1"/>
    <w:rsid w:val="004C495A"/>
    <w:rsid w:val="004C66E3"/>
    <w:rsid w:val="004C71DD"/>
    <w:rsid w:val="004C751A"/>
    <w:rsid w:val="004C753C"/>
    <w:rsid w:val="004C7A18"/>
    <w:rsid w:val="004D0B6B"/>
    <w:rsid w:val="004D0CB9"/>
    <w:rsid w:val="004D1B06"/>
    <w:rsid w:val="004D4057"/>
    <w:rsid w:val="004D5046"/>
    <w:rsid w:val="004D51A2"/>
    <w:rsid w:val="004D7712"/>
    <w:rsid w:val="004E09C5"/>
    <w:rsid w:val="004E4579"/>
    <w:rsid w:val="004E48D2"/>
    <w:rsid w:val="004F353B"/>
    <w:rsid w:val="004F378C"/>
    <w:rsid w:val="004F3D81"/>
    <w:rsid w:val="004F40C6"/>
    <w:rsid w:val="004F485D"/>
    <w:rsid w:val="004F567A"/>
    <w:rsid w:val="004F620B"/>
    <w:rsid w:val="004F733A"/>
    <w:rsid w:val="005010FF"/>
    <w:rsid w:val="00504633"/>
    <w:rsid w:val="00510ADC"/>
    <w:rsid w:val="0051735F"/>
    <w:rsid w:val="00517ACC"/>
    <w:rsid w:val="00521383"/>
    <w:rsid w:val="005226E4"/>
    <w:rsid w:val="00524010"/>
    <w:rsid w:val="00524015"/>
    <w:rsid w:val="0052526E"/>
    <w:rsid w:val="00527D6E"/>
    <w:rsid w:val="00534A10"/>
    <w:rsid w:val="00537327"/>
    <w:rsid w:val="00537C3C"/>
    <w:rsid w:val="0054191D"/>
    <w:rsid w:val="00545222"/>
    <w:rsid w:val="00550FCC"/>
    <w:rsid w:val="005551AC"/>
    <w:rsid w:val="00556B44"/>
    <w:rsid w:val="00557951"/>
    <w:rsid w:val="00561B57"/>
    <w:rsid w:val="005629B1"/>
    <w:rsid w:val="005639CE"/>
    <w:rsid w:val="00570340"/>
    <w:rsid w:val="005705EA"/>
    <w:rsid w:val="00572383"/>
    <w:rsid w:val="0057276A"/>
    <w:rsid w:val="0057324C"/>
    <w:rsid w:val="00577B95"/>
    <w:rsid w:val="00581000"/>
    <w:rsid w:val="00583FF0"/>
    <w:rsid w:val="0058491B"/>
    <w:rsid w:val="00584B73"/>
    <w:rsid w:val="0058674B"/>
    <w:rsid w:val="00586900"/>
    <w:rsid w:val="00591156"/>
    <w:rsid w:val="00592691"/>
    <w:rsid w:val="00595ACA"/>
    <w:rsid w:val="005A223F"/>
    <w:rsid w:val="005A7A4F"/>
    <w:rsid w:val="005B00EB"/>
    <w:rsid w:val="005B2B39"/>
    <w:rsid w:val="005B593E"/>
    <w:rsid w:val="005C2523"/>
    <w:rsid w:val="005C7460"/>
    <w:rsid w:val="005D075E"/>
    <w:rsid w:val="005D3D7F"/>
    <w:rsid w:val="005D535A"/>
    <w:rsid w:val="005D652F"/>
    <w:rsid w:val="005D7AEA"/>
    <w:rsid w:val="005E14CC"/>
    <w:rsid w:val="005E3F45"/>
    <w:rsid w:val="005E71F4"/>
    <w:rsid w:val="005F07A0"/>
    <w:rsid w:val="005F2049"/>
    <w:rsid w:val="005F3F32"/>
    <w:rsid w:val="005F4087"/>
    <w:rsid w:val="005F5B2C"/>
    <w:rsid w:val="005F6028"/>
    <w:rsid w:val="005F755A"/>
    <w:rsid w:val="00600DE6"/>
    <w:rsid w:val="00601906"/>
    <w:rsid w:val="00604968"/>
    <w:rsid w:val="00606003"/>
    <w:rsid w:val="00610A56"/>
    <w:rsid w:val="006145E9"/>
    <w:rsid w:val="0061787D"/>
    <w:rsid w:val="00617AC8"/>
    <w:rsid w:val="00624653"/>
    <w:rsid w:val="00626EE6"/>
    <w:rsid w:val="00627453"/>
    <w:rsid w:val="00627EF4"/>
    <w:rsid w:val="006303D4"/>
    <w:rsid w:val="00630BD5"/>
    <w:rsid w:val="00632B01"/>
    <w:rsid w:val="00633CCD"/>
    <w:rsid w:val="00637CE6"/>
    <w:rsid w:val="00640FCF"/>
    <w:rsid w:val="00641FD7"/>
    <w:rsid w:val="00642638"/>
    <w:rsid w:val="00644E07"/>
    <w:rsid w:val="00646BD9"/>
    <w:rsid w:val="006478AC"/>
    <w:rsid w:val="0066084C"/>
    <w:rsid w:val="00662628"/>
    <w:rsid w:val="006645E9"/>
    <w:rsid w:val="00666DE4"/>
    <w:rsid w:val="0067040E"/>
    <w:rsid w:val="0067158F"/>
    <w:rsid w:val="00671C41"/>
    <w:rsid w:val="0067251B"/>
    <w:rsid w:val="006727D2"/>
    <w:rsid w:val="006735C4"/>
    <w:rsid w:val="00673693"/>
    <w:rsid w:val="0067421E"/>
    <w:rsid w:val="00675465"/>
    <w:rsid w:val="0067602E"/>
    <w:rsid w:val="0068330E"/>
    <w:rsid w:val="00684481"/>
    <w:rsid w:val="00686D35"/>
    <w:rsid w:val="00687A0D"/>
    <w:rsid w:val="00691930"/>
    <w:rsid w:val="00691D19"/>
    <w:rsid w:val="006926BF"/>
    <w:rsid w:val="00692A41"/>
    <w:rsid w:val="00696DF0"/>
    <w:rsid w:val="006A2589"/>
    <w:rsid w:val="006A2803"/>
    <w:rsid w:val="006A4EFD"/>
    <w:rsid w:val="006A7BDE"/>
    <w:rsid w:val="006B15B5"/>
    <w:rsid w:val="006B276D"/>
    <w:rsid w:val="006B3A6B"/>
    <w:rsid w:val="006B4BA8"/>
    <w:rsid w:val="006B5EC9"/>
    <w:rsid w:val="006B6854"/>
    <w:rsid w:val="006C16CB"/>
    <w:rsid w:val="006C4457"/>
    <w:rsid w:val="006C4C62"/>
    <w:rsid w:val="006C7FF5"/>
    <w:rsid w:val="006D0365"/>
    <w:rsid w:val="006D6C9B"/>
    <w:rsid w:val="006E090F"/>
    <w:rsid w:val="006E0AA9"/>
    <w:rsid w:val="006E2B74"/>
    <w:rsid w:val="006E5856"/>
    <w:rsid w:val="006E7073"/>
    <w:rsid w:val="006E7C61"/>
    <w:rsid w:val="006F5CEA"/>
    <w:rsid w:val="006F60A0"/>
    <w:rsid w:val="006F6CDD"/>
    <w:rsid w:val="006F71FF"/>
    <w:rsid w:val="007001A2"/>
    <w:rsid w:val="0070330D"/>
    <w:rsid w:val="00703592"/>
    <w:rsid w:val="00704A10"/>
    <w:rsid w:val="007051A8"/>
    <w:rsid w:val="00706292"/>
    <w:rsid w:val="007101A1"/>
    <w:rsid w:val="00710B72"/>
    <w:rsid w:val="0071317B"/>
    <w:rsid w:val="00715EFF"/>
    <w:rsid w:val="007163E8"/>
    <w:rsid w:val="00717E29"/>
    <w:rsid w:val="00724F27"/>
    <w:rsid w:val="00725997"/>
    <w:rsid w:val="00726702"/>
    <w:rsid w:val="007277D2"/>
    <w:rsid w:val="00730961"/>
    <w:rsid w:val="0073305C"/>
    <w:rsid w:val="0073580A"/>
    <w:rsid w:val="007407AF"/>
    <w:rsid w:val="00741B7E"/>
    <w:rsid w:val="00743121"/>
    <w:rsid w:val="007468FD"/>
    <w:rsid w:val="0074693B"/>
    <w:rsid w:val="007478E2"/>
    <w:rsid w:val="00751F02"/>
    <w:rsid w:val="007527BB"/>
    <w:rsid w:val="00754E5A"/>
    <w:rsid w:val="00755040"/>
    <w:rsid w:val="0075570A"/>
    <w:rsid w:val="007557F9"/>
    <w:rsid w:val="00756272"/>
    <w:rsid w:val="00756C2E"/>
    <w:rsid w:val="00760BB5"/>
    <w:rsid w:val="0076317E"/>
    <w:rsid w:val="00763259"/>
    <w:rsid w:val="00763395"/>
    <w:rsid w:val="007639B5"/>
    <w:rsid w:val="00766371"/>
    <w:rsid w:val="007664A9"/>
    <w:rsid w:val="00771E9D"/>
    <w:rsid w:val="00772B29"/>
    <w:rsid w:val="007747EE"/>
    <w:rsid w:val="00777FC6"/>
    <w:rsid w:val="00782611"/>
    <w:rsid w:val="0078418C"/>
    <w:rsid w:val="007917B7"/>
    <w:rsid w:val="00794381"/>
    <w:rsid w:val="00796D99"/>
    <w:rsid w:val="0079730A"/>
    <w:rsid w:val="007A2337"/>
    <w:rsid w:val="007A2E38"/>
    <w:rsid w:val="007A7033"/>
    <w:rsid w:val="007B362E"/>
    <w:rsid w:val="007B40D4"/>
    <w:rsid w:val="007B563A"/>
    <w:rsid w:val="007B6493"/>
    <w:rsid w:val="007B6CCC"/>
    <w:rsid w:val="007C0221"/>
    <w:rsid w:val="007C12E8"/>
    <w:rsid w:val="007C1768"/>
    <w:rsid w:val="007C1895"/>
    <w:rsid w:val="007C1F7C"/>
    <w:rsid w:val="007C2019"/>
    <w:rsid w:val="007D37CA"/>
    <w:rsid w:val="007D5325"/>
    <w:rsid w:val="007D655E"/>
    <w:rsid w:val="007D71F2"/>
    <w:rsid w:val="007D7CAB"/>
    <w:rsid w:val="007E086D"/>
    <w:rsid w:val="007E2794"/>
    <w:rsid w:val="007E328E"/>
    <w:rsid w:val="007E5C29"/>
    <w:rsid w:val="007E6C5C"/>
    <w:rsid w:val="007F17B2"/>
    <w:rsid w:val="007F2097"/>
    <w:rsid w:val="007F3629"/>
    <w:rsid w:val="007F3E90"/>
    <w:rsid w:val="007F43AF"/>
    <w:rsid w:val="00804A36"/>
    <w:rsid w:val="00805796"/>
    <w:rsid w:val="0081056E"/>
    <w:rsid w:val="0081060C"/>
    <w:rsid w:val="00810853"/>
    <w:rsid w:val="00810914"/>
    <w:rsid w:val="00810AC3"/>
    <w:rsid w:val="00812529"/>
    <w:rsid w:val="00813780"/>
    <w:rsid w:val="00817C35"/>
    <w:rsid w:val="00820FFE"/>
    <w:rsid w:val="00826132"/>
    <w:rsid w:val="00830866"/>
    <w:rsid w:val="008314C7"/>
    <w:rsid w:val="00833692"/>
    <w:rsid w:val="00833AFF"/>
    <w:rsid w:val="00835E1B"/>
    <w:rsid w:val="00835F29"/>
    <w:rsid w:val="008379D3"/>
    <w:rsid w:val="0084452D"/>
    <w:rsid w:val="00845261"/>
    <w:rsid w:val="008527CD"/>
    <w:rsid w:val="00856290"/>
    <w:rsid w:val="00860B7F"/>
    <w:rsid w:val="008610D4"/>
    <w:rsid w:val="00861728"/>
    <w:rsid w:val="008631C9"/>
    <w:rsid w:val="0086549E"/>
    <w:rsid w:val="00867C8E"/>
    <w:rsid w:val="008706B8"/>
    <w:rsid w:val="00870F51"/>
    <w:rsid w:val="00871559"/>
    <w:rsid w:val="00874A43"/>
    <w:rsid w:val="008813EA"/>
    <w:rsid w:val="00881D5E"/>
    <w:rsid w:val="008827BB"/>
    <w:rsid w:val="00882E50"/>
    <w:rsid w:val="008832D6"/>
    <w:rsid w:val="00883FE4"/>
    <w:rsid w:val="00886559"/>
    <w:rsid w:val="00887E1B"/>
    <w:rsid w:val="00891F09"/>
    <w:rsid w:val="008A0410"/>
    <w:rsid w:val="008A0974"/>
    <w:rsid w:val="008A2762"/>
    <w:rsid w:val="008A27B3"/>
    <w:rsid w:val="008A2E51"/>
    <w:rsid w:val="008B30BC"/>
    <w:rsid w:val="008B55D1"/>
    <w:rsid w:val="008B620E"/>
    <w:rsid w:val="008B77C7"/>
    <w:rsid w:val="008B7AC8"/>
    <w:rsid w:val="008B7B45"/>
    <w:rsid w:val="008C1052"/>
    <w:rsid w:val="008C4CAE"/>
    <w:rsid w:val="008C53C8"/>
    <w:rsid w:val="008D00DC"/>
    <w:rsid w:val="008D00F0"/>
    <w:rsid w:val="008D27CB"/>
    <w:rsid w:val="008D30CF"/>
    <w:rsid w:val="008E1C49"/>
    <w:rsid w:val="008E6F6A"/>
    <w:rsid w:val="008F568D"/>
    <w:rsid w:val="008F7FBC"/>
    <w:rsid w:val="009021FE"/>
    <w:rsid w:val="009022B0"/>
    <w:rsid w:val="00910281"/>
    <w:rsid w:val="0091121A"/>
    <w:rsid w:val="00911232"/>
    <w:rsid w:val="00913FBE"/>
    <w:rsid w:val="0091797C"/>
    <w:rsid w:val="00920F35"/>
    <w:rsid w:val="00923CFF"/>
    <w:rsid w:val="00924BFE"/>
    <w:rsid w:val="00927FC5"/>
    <w:rsid w:val="009326E6"/>
    <w:rsid w:val="00932919"/>
    <w:rsid w:val="00932E6A"/>
    <w:rsid w:val="0093313B"/>
    <w:rsid w:val="00933289"/>
    <w:rsid w:val="00933561"/>
    <w:rsid w:val="00933DBF"/>
    <w:rsid w:val="00933F06"/>
    <w:rsid w:val="0094066F"/>
    <w:rsid w:val="0094405A"/>
    <w:rsid w:val="00945769"/>
    <w:rsid w:val="009462A1"/>
    <w:rsid w:val="00947166"/>
    <w:rsid w:val="0094779B"/>
    <w:rsid w:val="0095019F"/>
    <w:rsid w:val="00950396"/>
    <w:rsid w:val="009509AB"/>
    <w:rsid w:val="00953E05"/>
    <w:rsid w:val="009550D8"/>
    <w:rsid w:val="0095775C"/>
    <w:rsid w:val="00960A04"/>
    <w:rsid w:val="00964EBC"/>
    <w:rsid w:val="00966374"/>
    <w:rsid w:val="009663FE"/>
    <w:rsid w:val="00972442"/>
    <w:rsid w:val="009726B6"/>
    <w:rsid w:val="00973534"/>
    <w:rsid w:val="009739AD"/>
    <w:rsid w:val="0097422A"/>
    <w:rsid w:val="009743F6"/>
    <w:rsid w:val="00975891"/>
    <w:rsid w:val="0097707A"/>
    <w:rsid w:val="009770DB"/>
    <w:rsid w:val="00981B0A"/>
    <w:rsid w:val="009824E2"/>
    <w:rsid w:val="0098301F"/>
    <w:rsid w:val="009847BE"/>
    <w:rsid w:val="009919CA"/>
    <w:rsid w:val="00996F62"/>
    <w:rsid w:val="00996F9D"/>
    <w:rsid w:val="00997EEC"/>
    <w:rsid w:val="009A22B5"/>
    <w:rsid w:val="009A706C"/>
    <w:rsid w:val="009A730F"/>
    <w:rsid w:val="009B075C"/>
    <w:rsid w:val="009B6E6B"/>
    <w:rsid w:val="009C12E2"/>
    <w:rsid w:val="009C12F0"/>
    <w:rsid w:val="009C34EB"/>
    <w:rsid w:val="009C5515"/>
    <w:rsid w:val="009D185F"/>
    <w:rsid w:val="009D3F01"/>
    <w:rsid w:val="009D6DC8"/>
    <w:rsid w:val="009E117A"/>
    <w:rsid w:val="009E615A"/>
    <w:rsid w:val="009E7561"/>
    <w:rsid w:val="009F119F"/>
    <w:rsid w:val="00A06745"/>
    <w:rsid w:val="00A06B56"/>
    <w:rsid w:val="00A1087C"/>
    <w:rsid w:val="00A11D39"/>
    <w:rsid w:val="00A207A3"/>
    <w:rsid w:val="00A209EB"/>
    <w:rsid w:val="00A2134B"/>
    <w:rsid w:val="00A22EF6"/>
    <w:rsid w:val="00A258CE"/>
    <w:rsid w:val="00A30132"/>
    <w:rsid w:val="00A30B40"/>
    <w:rsid w:val="00A30CAA"/>
    <w:rsid w:val="00A31A48"/>
    <w:rsid w:val="00A328CB"/>
    <w:rsid w:val="00A34C2E"/>
    <w:rsid w:val="00A34CD5"/>
    <w:rsid w:val="00A35E85"/>
    <w:rsid w:val="00A41668"/>
    <w:rsid w:val="00A41E56"/>
    <w:rsid w:val="00A41EF7"/>
    <w:rsid w:val="00A42522"/>
    <w:rsid w:val="00A46FF9"/>
    <w:rsid w:val="00A474E0"/>
    <w:rsid w:val="00A477E6"/>
    <w:rsid w:val="00A500AB"/>
    <w:rsid w:val="00A54DA4"/>
    <w:rsid w:val="00A5558D"/>
    <w:rsid w:val="00A63545"/>
    <w:rsid w:val="00A64DE8"/>
    <w:rsid w:val="00A65133"/>
    <w:rsid w:val="00A6604A"/>
    <w:rsid w:val="00A7208F"/>
    <w:rsid w:val="00A7284A"/>
    <w:rsid w:val="00A72AEE"/>
    <w:rsid w:val="00A73DDA"/>
    <w:rsid w:val="00A74684"/>
    <w:rsid w:val="00A76694"/>
    <w:rsid w:val="00A812BC"/>
    <w:rsid w:val="00A83611"/>
    <w:rsid w:val="00A8625F"/>
    <w:rsid w:val="00A87A94"/>
    <w:rsid w:val="00A93601"/>
    <w:rsid w:val="00A94E7C"/>
    <w:rsid w:val="00A95140"/>
    <w:rsid w:val="00AA094C"/>
    <w:rsid w:val="00AA41EA"/>
    <w:rsid w:val="00AA47EE"/>
    <w:rsid w:val="00AB0707"/>
    <w:rsid w:val="00AB28EE"/>
    <w:rsid w:val="00AB4BB0"/>
    <w:rsid w:val="00AC3323"/>
    <w:rsid w:val="00AC3342"/>
    <w:rsid w:val="00AC3D49"/>
    <w:rsid w:val="00AC5081"/>
    <w:rsid w:val="00AC59D9"/>
    <w:rsid w:val="00AD22CC"/>
    <w:rsid w:val="00AD3AA2"/>
    <w:rsid w:val="00AD7AD4"/>
    <w:rsid w:val="00AE29C8"/>
    <w:rsid w:val="00AE6709"/>
    <w:rsid w:val="00AE67F3"/>
    <w:rsid w:val="00B00814"/>
    <w:rsid w:val="00B06AC8"/>
    <w:rsid w:val="00B075CB"/>
    <w:rsid w:val="00B07BD2"/>
    <w:rsid w:val="00B07D2C"/>
    <w:rsid w:val="00B11B20"/>
    <w:rsid w:val="00B13EF9"/>
    <w:rsid w:val="00B146E2"/>
    <w:rsid w:val="00B1552B"/>
    <w:rsid w:val="00B168F5"/>
    <w:rsid w:val="00B178B4"/>
    <w:rsid w:val="00B17982"/>
    <w:rsid w:val="00B215EC"/>
    <w:rsid w:val="00B229CD"/>
    <w:rsid w:val="00B23E36"/>
    <w:rsid w:val="00B25551"/>
    <w:rsid w:val="00B26CC8"/>
    <w:rsid w:val="00B337E3"/>
    <w:rsid w:val="00B36A76"/>
    <w:rsid w:val="00B376D8"/>
    <w:rsid w:val="00B42DE5"/>
    <w:rsid w:val="00B44477"/>
    <w:rsid w:val="00B453FD"/>
    <w:rsid w:val="00B45E22"/>
    <w:rsid w:val="00B472C7"/>
    <w:rsid w:val="00B47A2F"/>
    <w:rsid w:val="00B54EB3"/>
    <w:rsid w:val="00B603F4"/>
    <w:rsid w:val="00B62CB2"/>
    <w:rsid w:val="00B63933"/>
    <w:rsid w:val="00B666EF"/>
    <w:rsid w:val="00B73EF3"/>
    <w:rsid w:val="00B7468B"/>
    <w:rsid w:val="00B85006"/>
    <w:rsid w:val="00B90F82"/>
    <w:rsid w:val="00B94BEF"/>
    <w:rsid w:val="00B956F7"/>
    <w:rsid w:val="00BA3C58"/>
    <w:rsid w:val="00BB0E5E"/>
    <w:rsid w:val="00BB1901"/>
    <w:rsid w:val="00BB685F"/>
    <w:rsid w:val="00BB77C8"/>
    <w:rsid w:val="00BC43C5"/>
    <w:rsid w:val="00BC43CB"/>
    <w:rsid w:val="00BC7852"/>
    <w:rsid w:val="00BD4695"/>
    <w:rsid w:val="00BD7F67"/>
    <w:rsid w:val="00BE04E7"/>
    <w:rsid w:val="00BE3122"/>
    <w:rsid w:val="00BE4789"/>
    <w:rsid w:val="00BE6C69"/>
    <w:rsid w:val="00BF0E0A"/>
    <w:rsid w:val="00BF2E05"/>
    <w:rsid w:val="00BF2E7E"/>
    <w:rsid w:val="00BF3547"/>
    <w:rsid w:val="00BF3D42"/>
    <w:rsid w:val="00BF4FC7"/>
    <w:rsid w:val="00BF57BB"/>
    <w:rsid w:val="00C02B99"/>
    <w:rsid w:val="00C02F8E"/>
    <w:rsid w:val="00C058EF"/>
    <w:rsid w:val="00C06216"/>
    <w:rsid w:val="00C07181"/>
    <w:rsid w:val="00C07CA2"/>
    <w:rsid w:val="00C1221D"/>
    <w:rsid w:val="00C15DD3"/>
    <w:rsid w:val="00C164A7"/>
    <w:rsid w:val="00C16F96"/>
    <w:rsid w:val="00C17931"/>
    <w:rsid w:val="00C20DB7"/>
    <w:rsid w:val="00C2281A"/>
    <w:rsid w:val="00C24003"/>
    <w:rsid w:val="00C251F9"/>
    <w:rsid w:val="00C26726"/>
    <w:rsid w:val="00C303E6"/>
    <w:rsid w:val="00C31B6F"/>
    <w:rsid w:val="00C33313"/>
    <w:rsid w:val="00C34838"/>
    <w:rsid w:val="00C35A16"/>
    <w:rsid w:val="00C3732D"/>
    <w:rsid w:val="00C4095A"/>
    <w:rsid w:val="00C4431B"/>
    <w:rsid w:val="00C44FBF"/>
    <w:rsid w:val="00C45052"/>
    <w:rsid w:val="00C47881"/>
    <w:rsid w:val="00C537F1"/>
    <w:rsid w:val="00C54D2B"/>
    <w:rsid w:val="00C613F6"/>
    <w:rsid w:val="00C63A4B"/>
    <w:rsid w:val="00C7227C"/>
    <w:rsid w:val="00C72917"/>
    <w:rsid w:val="00C72FEF"/>
    <w:rsid w:val="00C743E4"/>
    <w:rsid w:val="00C7549A"/>
    <w:rsid w:val="00C76B09"/>
    <w:rsid w:val="00C76F89"/>
    <w:rsid w:val="00C7770D"/>
    <w:rsid w:val="00C81E72"/>
    <w:rsid w:val="00C85447"/>
    <w:rsid w:val="00C8579A"/>
    <w:rsid w:val="00C85E79"/>
    <w:rsid w:val="00C85EA6"/>
    <w:rsid w:val="00C86FAD"/>
    <w:rsid w:val="00C90A4B"/>
    <w:rsid w:val="00C9118E"/>
    <w:rsid w:val="00C9122A"/>
    <w:rsid w:val="00C94E17"/>
    <w:rsid w:val="00C9565C"/>
    <w:rsid w:val="00CA413E"/>
    <w:rsid w:val="00CA594B"/>
    <w:rsid w:val="00CA5DBD"/>
    <w:rsid w:val="00CA6A4E"/>
    <w:rsid w:val="00CB05B2"/>
    <w:rsid w:val="00CB2848"/>
    <w:rsid w:val="00CB2E3E"/>
    <w:rsid w:val="00CB3081"/>
    <w:rsid w:val="00CB3E76"/>
    <w:rsid w:val="00CB7944"/>
    <w:rsid w:val="00CC153B"/>
    <w:rsid w:val="00CC188E"/>
    <w:rsid w:val="00CC670B"/>
    <w:rsid w:val="00CC72E8"/>
    <w:rsid w:val="00CD02B3"/>
    <w:rsid w:val="00CD0353"/>
    <w:rsid w:val="00CD18E2"/>
    <w:rsid w:val="00CD2427"/>
    <w:rsid w:val="00CD2E8E"/>
    <w:rsid w:val="00CD4D67"/>
    <w:rsid w:val="00CD5BD6"/>
    <w:rsid w:val="00CE05DE"/>
    <w:rsid w:val="00CE07F4"/>
    <w:rsid w:val="00CE1CC4"/>
    <w:rsid w:val="00CE276B"/>
    <w:rsid w:val="00CE56DB"/>
    <w:rsid w:val="00CF0CBB"/>
    <w:rsid w:val="00CF1C22"/>
    <w:rsid w:val="00CF2898"/>
    <w:rsid w:val="00CF4151"/>
    <w:rsid w:val="00D00156"/>
    <w:rsid w:val="00D016D3"/>
    <w:rsid w:val="00D02913"/>
    <w:rsid w:val="00D03887"/>
    <w:rsid w:val="00D055E5"/>
    <w:rsid w:val="00D06020"/>
    <w:rsid w:val="00D078C9"/>
    <w:rsid w:val="00D10A55"/>
    <w:rsid w:val="00D11548"/>
    <w:rsid w:val="00D13204"/>
    <w:rsid w:val="00D13D4B"/>
    <w:rsid w:val="00D15E77"/>
    <w:rsid w:val="00D16FC4"/>
    <w:rsid w:val="00D2146E"/>
    <w:rsid w:val="00D24322"/>
    <w:rsid w:val="00D250BF"/>
    <w:rsid w:val="00D278DA"/>
    <w:rsid w:val="00D27B78"/>
    <w:rsid w:val="00D31251"/>
    <w:rsid w:val="00D313DB"/>
    <w:rsid w:val="00D32D37"/>
    <w:rsid w:val="00D34135"/>
    <w:rsid w:val="00D350FA"/>
    <w:rsid w:val="00D3628B"/>
    <w:rsid w:val="00D376D9"/>
    <w:rsid w:val="00D45111"/>
    <w:rsid w:val="00D47E4C"/>
    <w:rsid w:val="00D5077D"/>
    <w:rsid w:val="00D54CCF"/>
    <w:rsid w:val="00D5727D"/>
    <w:rsid w:val="00D619E3"/>
    <w:rsid w:val="00D64651"/>
    <w:rsid w:val="00D65820"/>
    <w:rsid w:val="00D67ECA"/>
    <w:rsid w:val="00D72B0E"/>
    <w:rsid w:val="00D8010A"/>
    <w:rsid w:val="00D82725"/>
    <w:rsid w:val="00D82A4E"/>
    <w:rsid w:val="00D836EB"/>
    <w:rsid w:val="00D84831"/>
    <w:rsid w:val="00D913DA"/>
    <w:rsid w:val="00D94DC7"/>
    <w:rsid w:val="00DA2688"/>
    <w:rsid w:val="00DA2C29"/>
    <w:rsid w:val="00DA7B37"/>
    <w:rsid w:val="00DB010B"/>
    <w:rsid w:val="00DB3A93"/>
    <w:rsid w:val="00DB5425"/>
    <w:rsid w:val="00DB577C"/>
    <w:rsid w:val="00DB7243"/>
    <w:rsid w:val="00DC20F8"/>
    <w:rsid w:val="00DC2B46"/>
    <w:rsid w:val="00DC5B2B"/>
    <w:rsid w:val="00DD5649"/>
    <w:rsid w:val="00DD64FD"/>
    <w:rsid w:val="00DD73F9"/>
    <w:rsid w:val="00DD7A56"/>
    <w:rsid w:val="00DD7C37"/>
    <w:rsid w:val="00DE1321"/>
    <w:rsid w:val="00DE2792"/>
    <w:rsid w:val="00DE3890"/>
    <w:rsid w:val="00DE3EFE"/>
    <w:rsid w:val="00DE4C12"/>
    <w:rsid w:val="00DE6E21"/>
    <w:rsid w:val="00DE7943"/>
    <w:rsid w:val="00DF394B"/>
    <w:rsid w:val="00DF4AC3"/>
    <w:rsid w:val="00DF790C"/>
    <w:rsid w:val="00E00062"/>
    <w:rsid w:val="00E0020E"/>
    <w:rsid w:val="00E01438"/>
    <w:rsid w:val="00E02C54"/>
    <w:rsid w:val="00E04466"/>
    <w:rsid w:val="00E0482A"/>
    <w:rsid w:val="00E0621C"/>
    <w:rsid w:val="00E065F1"/>
    <w:rsid w:val="00E06CE2"/>
    <w:rsid w:val="00E131A8"/>
    <w:rsid w:val="00E151B2"/>
    <w:rsid w:val="00E155D9"/>
    <w:rsid w:val="00E1759B"/>
    <w:rsid w:val="00E203E9"/>
    <w:rsid w:val="00E21AD3"/>
    <w:rsid w:val="00E23D16"/>
    <w:rsid w:val="00E26AB6"/>
    <w:rsid w:val="00E30B91"/>
    <w:rsid w:val="00E3207E"/>
    <w:rsid w:val="00E324E2"/>
    <w:rsid w:val="00E32E8A"/>
    <w:rsid w:val="00E33699"/>
    <w:rsid w:val="00E34E50"/>
    <w:rsid w:val="00E35077"/>
    <w:rsid w:val="00E35594"/>
    <w:rsid w:val="00E36F43"/>
    <w:rsid w:val="00E45C4A"/>
    <w:rsid w:val="00E514E9"/>
    <w:rsid w:val="00E5172B"/>
    <w:rsid w:val="00E526A3"/>
    <w:rsid w:val="00E55EF6"/>
    <w:rsid w:val="00E6262A"/>
    <w:rsid w:val="00E62C71"/>
    <w:rsid w:val="00E63793"/>
    <w:rsid w:val="00E645B1"/>
    <w:rsid w:val="00E657CD"/>
    <w:rsid w:val="00E67558"/>
    <w:rsid w:val="00E677ED"/>
    <w:rsid w:val="00E67F3C"/>
    <w:rsid w:val="00E707F5"/>
    <w:rsid w:val="00E70952"/>
    <w:rsid w:val="00E82E9B"/>
    <w:rsid w:val="00E83045"/>
    <w:rsid w:val="00E865E5"/>
    <w:rsid w:val="00E90402"/>
    <w:rsid w:val="00E922D0"/>
    <w:rsid w:val="00E92CF5"/>
    <w:rsid w:val="00E92E96"/>
    <w:rsid w:val="00E94779"/>
    <w:rsid w:val="00E94CF0"/>
    <w:rsid w:val="00E94D6D"/>
    <w:rsid w:val="00E94FB3"/>
    <w:rsid w:val="00E95400"/>
    <w:rsid w:val="00E95621"/>
    <w:rsid w:val="00EA2ABA"/>
    <w:rsid w:val="00EA2D4D"/>
    <w:rsid w:val="00EA4CD9"/>
    <w:rsid w:val="00EA51E0"/>
    <w:rsid w:val="00EA5D14"/>
    <w:rsid w:val="00EB393F"/>
    <w:rsid w:val="00EB67D0"/>
    <w:rsid w:val="00EB7799"/>
    <w:rsid w:val="00EC09C2"/>
    <w:rsid w:val="00EC45A8"/>
    <w:rsid w:val="00ED07CB"/>
    <w:rsid w:val="00ED0B18"/>
    <w:rsid w:val="00ED248C"/>
    <w:rsid w:val="00ED4CC6"/>
    <w:rsid w:val="00EE182F"/>
    <w:rsid w:val="00EE31F4"/>
    <w:rsid w:val="00EE3E25"/>
    <w:rsid w:val="00EE4D3F"/>
    <w:rsid w:val="00EF1AFA"/>
    <w:rsid w:val="00EF386B"/>
    <w:rsid w:val="00EF5527"/>
    <w:rsid w:val="00EF5EF1"/>
    <w:rsid w:val="00EF6ED4"/>
    <w:rsid w:val="00EF7E1B"/>
    <w:rsid w:val="00F0308F"/>
    <w:rsid w:val="00F03ECE"/>
    <w:rsid w:val="00F067FC"/>
    <w:rsid w:val="00F12241"/>
    <w:rsid w:val="00F13950"/>
    <w:rsid w:val="00F153D0"/>
    <w:rsid w:val="00F15B84"/>
    <w:rsid w:val="00F16D99"/>
    <w:rsid w:val="00F21A81"/>
    <w:rsid w:val="00F257CC"/>
    <w:rsid w:val="00F26686"/>
    <w:rsid w:val="00F30C05"/>
    <w:rsid w:val="00F31087"/>
    <w:rsid w:val="00F3425D"/>
    <w:rsid w:val="00F34943"/>
    <w:rsid w:val="00F36032"/>
    <w:rsid w:val="00F37FA0"/>
    <w:rsid w:val="00F4082F"/>
    <w:rsid w:val="00F4189A"/>
    <w:rsid w:val="00F4577C"/>
    <w:rsid w:val="00F47B6A"/>
    <w:rsid w:val="00F51AC0"/>
    <w:rsid w:val="00F55A91"/>
    <w:rsid w:val="00F563F0"/>
    <w:rsid w:val="00F56D80"/>
    <w:rsid w:val="00F625DA"/>
    <w:rsid w:val="00F631AA"/>
    <w:rsid w:val="00F64979"/>
    <w:rsid w:val="00F651B1"/>
    <w:rsid w:val="00F70A71"/>
    <w:rsid w:val="00F71314"/>
    <w:rsid w:val="00F7539F"/>
    <w:rsid w:val="00F75EF7"/>
    <w:rsid w:val="00F77A88"/>
    <w:rsid w:val="00F80622"/>
    <w:rsid w:val="00F80F92"/>
    <w:rsid w:val="00F82373"/>
    <w:rsid w:val="00F84836"/>
    <w:rsid w:val="00F86F33"/>
    <w:rsid w:val="00F90473"/>
    <w:rsid w:val="00F92EB4"/>
    <w:rsid w:val="00F978FF"/>
    <w:rsid w:val="00F979E5"/>
    <w:rsid w:val="00FA1F39"/>
    <w:rsid w:val="00FB0E7A"/>
    <w:rsid w:val="00FB13C0"/>
    <w:rsid w:val="00FB355A"/>
    <w:rsid w:val="00FB3A9B"/>
    <w:rsid w:val="00FB41BD"/>
    <w:rsid w:val="00FB438D"/>
    <w:rsid w:val="00FB4BEB"/>
    <w:rsid w:val="00FB4CD6"/>
    <w:rsid w:val="00FB524E"/>
    <w:rsid w:val="00FB61CA"/>
    <w:rsid w:val="00FB73C2"/>
    <w:rsid w:val="00FC12F4"/>
    <w:rsid w:val="00FC286F"/>
    <w:rsid w:val="00FC38A6"/>
    <w:rsid w:val="00FC4090"/>
    <w:rsid w:val="00FC468A"/>
    <w:rsid w:val="00FC61E4"/>
    <w:rsid w:val="00FC6BBD"/>
    <w:rsid w:val="00FD070A"/>
    <w:rsid w:val="00FD0DF9"/>
    <w:rsid w:val="00FD4119"/>
    <w:rsid w:val="00FD575B"/>
    <w:rsid w:val="00FD6CC4"/>
    <w:rsid w:val="00FD7675"/>
    <w:rsid w:val="00FD7D26"/>
    <w:rsid w:val="00FE1245"/>
    <w:rsid w:val="00FE3389"/>
    <w:rsid w:val="00FE3AD7"/>
    <w:rsid w:val="00FE3FE8"/>
    <w:rsid w:val="00FE5365"/>
    <w:rsid w:val="00FE7EA1"/>
    <w:rsid w:val="00FF10B7"/>
    <w:rsid w:val="00FF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701"/>
      </w:tabs>
      <w:ind w:left="567" w:firstLine="0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i/>
      <w:sz w:val="3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outlineLvl w:val="8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14">
    <w:name w:val="Fonte parág. padrão14"/>
  </w:style>
  <w:style w:type="character" w:customStyle="1" w:styleId="Absatz-Standardschriftart">
    <w:name w:val="Absatz-Standardschriftart"/>
  </w:style>
  <w:style w:type="character" w:customStyle="1" w:styleId="Fontepargpadro13">
    <w:name w:val="Fonte parág. padrão1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12">
    <w:name w:val="Fonte parág. padrão1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11">
    <w:name w:val="Fonte parág. padrão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1111111111111">
    <w:name w:val="WW-Absatz-Standardschriftart111111111111111111"/>
  </w:style>
  <w:style w:type="character" w:customStyle="1" w:styleId="Fontepargpadro10">
    <w:name w:val="Fonte parág. padrão10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ntepargpadro9">
    <w:name w:val="Fonte parág. padrão9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RodapChar">
    <w:name w:val="Rodapé Char"/>
    <w:rPr>
      <w:kern w:val="1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3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4">
    <w:name w:val="Legenda1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3">
    <w:name w:val="Legenda1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2">
    <w:name w:val="Legenda1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1">
    <w:name w:val="Legenda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Legenda10">
    <w:name w:val="Legenda10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2127"/>
      <w:jc w:val="both"/>
    </w:pPr>
    <w:rPr>
      <w:sz w:val="32"/>
    </w:rPr>
  </w:style>
  <w:style w:type="paragraph" w:customStyle="1" w:styleId="Recuodecorpodetexto31">
    <w:name w:val="Recuo de corpo de texto 31"/>
    <w:basedOn w:val="Normal"/>
    <w:pPr>
      <w:ind w:firstLine="1701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701"/>
      <w:jc w:val="both"/>
    </w:pPr>
    <w:rPr>
      <w:sz w:val="2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WW-Recuodecorpodetexto2">
    <w:name w:val="WW-Recuo de corpo de texto 2"/>
    <w:basedOn w:val="Normal"/>
    <w:pPr>
      <w:ind w:left="426" w:hanging="426"/>
    </w:pPr>
    <w:rPr>
      <w:sz w:val="24"/>
    </w:rPr>
  </w:style>
  <w:style w:type="paragraph" w:customStyle="1" w:styleId="WW-Corpodetexto2">
    <w:name w:val="WW-Corpo de texto 2"/>
    <w:basedOn w:val="Normal"/>
    <w:rPr>
      <w:b/>
      <w:sz w:val="24"/>
    </w:rPr>
  </w:style>
  <w:style w:type="paragraph" w:customStyle="1" w:styleId="western">
    <w:name w:val="western"/>
    <w:basedOn w:val="Normal"/>
    <w:pPr>
      <w:suppressAutoHyphens w:val="0"/>
      <w:spacing w:before="100" w:after="119"/>
    </w:pPr>
    <w:rPr>
      <w:sz w:val="24"/>
      <w:szCs w:val="24"/>
    </w:rPr>
  </w:style>
  <w:style w:type="paragraph" w:customStyle="1" w:styleId="WW-Recuodecorpodetexto3">
    <w:name w:val="WW-Recuo de corpo de texto 3"/>
    <w:basedOn w:val="Normal"/>
    <w:pPr>
      <w:ind w:firstLine="2835"/>
      <w:jc w:val="both"/>
    </w:pPr>
  </w:style>
  <w:style w:type="paragraph" w:styleId="PargrafodaLista">
    <w:name w:val="List Paragraph"/>
    <w:basedOn w:val="Normal"/>
    <w:uiPriority w:val="34"/>
    <w:qFormat/>
    <w:rsid w:val="00E151B2"/>
    <w:pPr>
      <w:ind w:left="708"/>
    </w:pPr>
  </w:style>
  <w:style w:type="character" w:customStyle="1" w:styleId="CabealhoChar">
    <w:name w:val="Cabeçalho Char"/>
    <w:link w:val="Cabealho"/>
    <w:rsid w:val="00B63933"/>
    <w:rPr>
      <w:kern w:val="1"/>
      <w:lang w:eastAsia="ar-SA"/>
    </w:rPr>
  </w:style>
  <w:style w:type="paragraph" w:styleId="SemEspaamento">
    <w:name w:val="No Spacing"/>
    <w:uiPriority w:val="1"/>
    <w:qFormat/>
    <w:rsid w:val="00303FB9"/>
    <w:pPr>
      <w:suppressAutoHyphens/>
    </w:pPr>
    <w:rPr>
      <w:lang w:eastAsia="ar-SA"/>
    </w:rPr>
  </w:style>
  <w:style w:type="character" w:styleId="Refdenotaderodap">
    <w:name w:val="footnote reference"/>
    <w:rsid w:val="00303FB9"/>
    <w:rPr>
      <w:vertAlign w:val="superscript"/>
    </w:rPr>
  </w:style>
  <w:style w:type="table" w:styleId="Tabelacomgrade">
    <w:name w:val="Table Grid"/>
    <w:basedOn w:val="Tabelanormal"/>
    <w:uiPriority w:val="59"/>
    <w:rsid w:val="00CD4D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F9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C39A-F745-4415-92F2-D82BF084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1722</Words>
  <Characters>9305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OF/SEFAZ/UCE-AC/Nº 010/98</vt:lpstr>
    </vt:vector>
  </TitlesOfParts>
  <Company>Particular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OF/SEFAZ/UCE-AC/Nº 010/98</dc:title>
  <dc:creator>Uce - Ac</dc:creator>
  <cp:lastModifiedBy>Padrao</cp:lastModifiedBy>
  <cp:revision>2</cp:revision>
  <cp:lastPrinted>2019-07-26T19:58:00Z</cp:lastPrinted>
  <dcterms:created xsi:type="dcterms:W3CDTF">2020-01-28T18:15:00Z</dcterms:created>
  <dcterms:modified xsi:type="dcterms:W3CDTF">2020-01-28T18:15:00Z</dcterms:modified>
</cp:coreProperties>
</file>