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872A07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>presente NOTA EXPLICATIVA tem por propósito apresentar o entendimento demonstrado nas planilhas do Relatório Resumido da Execução Orçamentária – RREO,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, da Lei nº 101, de 04/05/2000 (Lei de Responsabilidade Fiscal), em seus </w:t>
      </w:r>
      <w:r w:rsidR="00F56D80" w:rsidRPr="00872A07">
        <w:rPr>
          <w:rFonts w:ascii="Arial" w:hAnsi="Arial" w:cs="Arial"/>
          <w:b/>
          <w:sz w:val="24"/>
          <w:szCs w:val="24"/>
        </w:rPr>
        <w:t xml:space="preserve">ANEXOS 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01, 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04,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05, </w:t>
      </w:r>
      <w:r w:rsidR="00B7468B" w:rsidRPr="00872A07">
        <w:rPr>
          <w:rFonts w:ascii="Arial" w:hAnsi="Arial" w:cs="Arial"/>
          <w:b/>
          <w:sz w:val="24"/>
          <w:szCs w:val="24"/>
        </w:rPr>
        <w:t>06,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07, </w:t>
      </w:r>
      <w:r w:rsidR="00E657CD" w:rsidRPr="00872A07">
        <w:rPr>
          <w:rFonts w:ascii="Arial" w:hAnsi="Arial" w:cs="Arial"/>
          <w:b/>
          <w:sz w:val="24"/>
          <w:szCs w:val="24"/>
        </w:rPr>
        <w:t>08</w:t>
      </w:r>
      <w:r w:rsidR="00057883" w:rsidRPr="00872A07">
        <w:rPr>
          <w:rFonts w:ascii="Arial" w:hAnsi="Arial" w:cs="Arial"/>
          <w:b/>
          <w:sz w:val="24"/>
          <w:szCs w:val="24"/>
        </w:rPr>
        <w:t>,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 12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 e 13</w:t>
      </w:r>
      <w:r w:rsidR="00057883" w:rsidRPr="00872A07">
        <w:rPr>
          <w:rFonts w:ascii="Arial" w:hAnsi="Arial" w:cs="Arial"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363CE8" w:rsidRPr="001B3F7F" w:rsidRDefault="00363C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C46096" w:rsidRPr="001B3F7F" w:rsidRDefault="00C46096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ECD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 (fl. 02 – Transferências Correntes)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176024">
        <w:rPr>
          <w:rFonts w:ascii="Arial" w:hAnsi="Arial" w:cs="Arial"/>
          <w:sz w:val="24"/>
          <w:szCs w:val="24"/>
        </w:rPr>
        <w:t>tais como:</w:t>
      </w:r>
      <w:r w:rsidR="00176024" w:rsidRPr="00872A07">
        <w:rPr>
          <w:rFonts w:ascii="Arial" w:hAnsi="Arial" w:cs="Arial"/>
          <w:sz w:val="24"/>
          <w:szCs w:val="24"/>
        </w:rPr>
        <w:t xml:space="preserve"> (i) </w:t>
      </w:r>
      <w:r w:rsidR="00872A07" w:rsidRPr="00872A07">
        <w:rPr>
          <w:rFonts w:ascii="Arial" w:hAnsi="Arial" w:cs="Arial"/>
          <w:sz w:val="24"/>
          <w:szCs w:val="24"/>
        </w:rPr>
        <w:t xml:space="preserve">Aproximadamente R$ </w:t>
      </w:r>
      <w:r w:rsidR="00050ECD" w:rsidRPr="00872A07">
        <w:rPr>
          <w:rFonts w:ascii="Arial" w:hAnsi="Arial" w:cs="Arial"/>
          <w:sz w:val="24"/>
          <w:szCs w:val="24"/>
        </w:rPr>
        <w:t>32</w:t>
      </w:r>
      <w:r w:rsidR="00872A07" w:rsidRPr="00872A07">
        <w:rPr>
          <w:rFonts w:ascii="Arial" w:hAnsi="Arial" w:cs="Arial"/>
          <w:sz w:val="24"/>
          <w:szCs w:val="24"/>
        </w:rPr>
        <w:t>.818.277,60 (trinta e dois milhões oitocentos e dezoito mil duzentos e setenta e sete reais e sessenta centavos)</w:t>
      </w:r>
      <w:r w:rsidR="00050ECD" w:rsidRPr="00872A07">
        <w:rPr>
          <w:rFonts w:ascii="Arial" w:hAnsi="Arial" w:cs="Arial"/>
          <w:sz w:val="24"/>
          <w:szCs w:val="24"/>
        </w:rPr>
        <w:t xml:space="preserve"> oriundos d</w:t>
      </w:r>
      <w:r w:rsidR="00872A07" w:rsidRPr="00872A07">
        <w:rPr>
          <w:rFonts w:ascii="Arial" w:hAnsi="Arial" w:cs="Arial"/>
          <w:sz w:val="24"/>
          <w:szCs w:val="24"/>
        </w:rPr>
        <w:t>o acordo homologado na ADPF nº 568, em razão da Operação Lava Jato</w:t>
      </w:r>
      <w:r w:rsidR="00050ECD" w:rsidRPr="00872A07">
        <w:rPr>
          <w:rFonts w:ascii="Arial" w:hAnsi="Arial" w:cs="Arial"/>
          <w:sz w:val="24"/>
          <w:szCs w:val="24"/>
        </w:rPr>
        <w:t xml:space="preserve">; (ii) Apoio financeiro concedido aos Estados pelas Medidas Provisórias nº 938 e 939; e, (iii) </w:t>
      </w:r>
      <w:r w:rsidR="00872A07" w:rsidRPr="00872A07">
        <w:rPr>
          <w:rFonts w:ascii="Arial" w:hAnsi="Arial" w:cs="Arial"/>
          <w:sz w:val="24"/>
          <w:szCs w:val="24"/>
        </w:rPr>
        <w:t>Outros</w:t>
      </w:r>
      <w:r w:rsidR="00C3720D" w:rsidRPr="00872A07">
        <w:rPr>
          <w:rFonts w:ascii="Arial" w:hAnsi="Arial" w:cs="Arial"/>
          <w:sz w:val="24"/>
          <w:szCs w:val="24"/>
        </w:rPr>
        <w:t xml:space="preserve"> recursos destinados para as ações de prevenção e combate ao COVID-19</w:t>
      </w:r>
      <w:r w:rsidR="00C0212D">
        <w:rPr>
          <w:rFonts w:ascii="Arial" w:hAnsi="Arial" w:cs="Arial"/>
          <w:sz w:val="24"/>
          <w:szCs w:val="24"/>
        </w:rPr>
        <w:t>, bem como o instituído pela Lei Complementar 173 de 27 de maio de 2020 que es</w:t>
      </w:r>
      <w:r w:rsidR="00C0212D" w:rsidRPr="00C0212D">
        <w:rPr>
          <w:rFonts w:ascii="Arial" w:hAnsi="Arial" w:cs="Arial"/>
          <w:sz w:val="24"/>
          <w:szCs w:val="24"/>
        </w:rPr>
        <w:t>tabelece o Programa Federativo de Enfrentamento ao Co</w:t>
      </w:r>
      <w:r w:rsidR="00C0212D">
        <w:rPr>
          <w:rFonts w:ascii="Arial" w:hAnsi="Arial" w:cs="Arial"/>
          <w:sz w:val="24"/>
          <w:szCs w:val="24"/>
        </w:rPr>
        <w:t>ronavírus SARS-CoV-2 (Covid-19) e</w:t>
      </w:r>
      <w:r w:rsidR="00C0212D" w:rsidRPr="00C0212D">
        <w:rPr>
          <w:rFonts w:ascii="Arial" w:hAnsi="Arial" w:cs="Arial"/>
          <w:sz w:val="24"/>
          <w:szCs w:val="24"/>
        </w:rPr>
        <w:t xml:space="preserve"> altera a </w:t>
      </w:r>
      <w:r w:rsidR="00C0212D">
        <w:rPr>
          <w:rFonts w:ascii="Arial" w:hAnsi="Arial" w:cs="Arial"/>
          <w:sz w:val="24"/>
          <w:szCs w:val="24"/>
        </w:rPr>
        <w:t>Lei Complementar 101</w:t>
      </w:r>
      <w:r w:rsidR="00C3720D" w:rsidRPr="00872A07">
        <w:rPr>
          <w:rFonts w:ascii="Arial" w:hAnsi="Arial" w:cs="Arial"/>
          <w:sz w:val="24"/>
          <w:szCs w:val="24"/>
        </w:rPr>
        <w:t>.</w:t>
      </w:r>
    </w:p>
    <w:p w:rsidR="003D598C" w:rsidRPr="00FD7675" w:rsidRDefault="003D598C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(fl.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D619E3">
        <w:rPr>
          <w:rFonts w:ascii="Arial" w:hAnsi="Arial" w:cs="Arial"/>
          <w:sz w:val="24"/>
          <w:szCs w:val="24"/>
        </w:rPr>
        <w:t xml:space="preserve">O superávit financeiro apontado na última linha da fl. 03 diz respeito a diversas modalidades de recursos, em sua maior parte remanescentes de aplicações </w:t>
      </w:r>
      <w:r w:rsidR="005B4DA3">
        <w:rPr>
          <w:rFonts w:ascii="Arial" w:hAnsi="Arial" w:cs="Arial"/>
          <w:sz w:val="24"/>
          <w:szCs w:val="24"/>
        </w:rPr>
        <w:t>de exercícios anteriores</w:t>
      </w:r>
      <w:r w:rsidR="00D619E3">
        <w:rPr>
          <w:rFonts w:ascii="Arial" w:hAnsi="Arial" w:cs="Arial"/>
          <w:sz w:val="24"/>
          <w:szCs w:val="24"/>
        </w:rPr>
        <w:t>, conforme exemplificado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7442B6" w:rsidRDefault="00C0212D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52.079.690,83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12.880.704,86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22.374.548,82</w:t>
            </w:r>
          </w:p>
        </w:tc>
      </w:tr>
      <w:tr w:rsidR="007442B6" w:rsidRPr="0025352D" w:rsidTr="0025352D">
        <w:trPr>
          <w:jc w:val="center"/>
        </w:trPr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Operações de Crédito (Fonte 500)</w:t>
            </w:r>
          </w:p>
        </w:tc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7442B6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14.462.645,11</w:t>
            </w:r>
          </w:p>
        </w:tc>
      </w:tr>
      <w:tr w:rsidR="007442B6" w:rsidRPr="0025352D" w:rsidTr="0025352D">
        <w:trPr>
          <w:jc w:val="center"/>
        </w:trPr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Recursos Previdenciários (Fonte 800)</w:t>
            </w:r>
          </w:p>
        </w:tc>
        <w:tc>
          <w:tcPr>
            <w:tcW w:w="4748" w:type="dxa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2B6" w:rsidRPr="0025352D" w:rsidTr="007442B6">
        <w:trPr>
          <w:jc w:val="center"/>
        </w:trPr>
        <w:tc>
          <w:tcPr>
            <w:tcW w:w="4748" w:type="dxa"/>
            <w:shd w:val="clear" w:color="auto" w:fill="000000"/>
            <w:vAlign w:val="center"/>
          </w:tcPr>
          <w:p w:rsidR="007442B6" w:rsidRPr="007442B6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2B6">
              <w:rPr>
                <w:rFonts w:ascii="Arial" w:hAnsi="Arial" w:cs="Arial"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000000"/>
            <w:vAlign w:val="center"/>
          </w:tcPr>
          <w:p w:rsidR="007442B6" w:rsidRPr="007442B6" w:rsidRDefault="00C0212D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101.797.589,62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3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3)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Nota 0</w:t>
      </w:r>
      <w:r w:rsidR="00A020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</w:t>
      </w:r>
      <w:r w:rsidR="00A020C2">
        <w:rPr>
          <w:rFonts w:ascii="Arial" w:hAnsi="Arial" w:cs="Arial"/>
          <w:sz w:val="24"/>
          <w:szCs w:val="24"/>
        </w:rPr>
        <w:t>n</w:t>
      </w:r>
      <w:r w:rsidR="007B362E">
        <w:rPr>
          <w:rFonts w:ascii="Arial" w:hAnsi="Arial" w:cs="Arial"/>
          <w:sz w:val="24"/>
          <w:szCs w:val="24"/>
        </w:rPr>
        <w:t xml:space="preserve">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1B3F7F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64A9" w:rsidRPr="00872A07">
        <w:rPr>
          <w:rFonts w:ascii="Arial" w:hAnsi="Arial" w:cs="Arial"/>
          <w:b/>
          <w:sz w:val="24"/>
          <w:szCs w:val="24"/>
        </w:rPr>
        <w:t>Despesas por função e subfunção</w:t>
      </w:r>
      <w:r w:rsidRPr="00872A07">
        <w:rPr>
          <w:rFonts w:ascii="Arial" w:hAnsi="Arial" w:cs="Arial"/>
          <w:b/>
          <w:sz w:val="24"/>
          <w:szCs w:val="24"/>
        </w:rPr>
        <w:t>: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6201" w:rsidRDefault="006302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01 (Segurança Pública): </w:t>
      </w:r>
      <w:r w:rsidR="00630233">
        <w:rPr>
          <w:rFonts w:ascii="Arial" w:hAnsi="Arial" w:cs="Arial"/>
          <w:sz w:val="24"/>
          <w:szCs w:val="24"/>
        </w:rPr>
        <w:t xml:space="preserve">Em que pese o notório aumento na execução orçamentária da função de Segurança Pública, observa-se que as subfunções relativas ao Policiamento, Defesa Civil, Informação e Inteligência e Ensino Fundamental encontram-se com execução zerada até o presente momento.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A118BF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C61">
        <w:rPr>
          <w:rFonts w:ascii="Arial" w:hAnsi="Arial" w:cs="Arial"/>
          <w:b/>
          <w:sz w:val="24"/>
          <w:szCs w:val="24"/>
        </w:rPr>
        <w:t>Nota 0</w:t>
      </w:r>
      <w:r w:rsidR="00A118BF">
        <w:rPr>
          <w:rFonts w:ascii="Arial" w:hAnsi="Arial" w:cs="Arial"/>
          <w:b/>
          <w:sz w:val="24"/>
          <w:szCs w:val="24"/>
        </w:rPr>
        <w:t>2</w:t>
      </w:r>
      <w:r w:rsidRPr="004C1C61">
        <w:rPr>
          <w:rFonts w:ascii="Arial" w:hAnsi="Arial" w:cs="Arial"/>
          <w:b/>
          <w:sz w:val="24"/>
          <w:szCs w:val="24"/>
        </w:rPr>
        <w:t xml:space="preserve"> (Educação):</w:t>
      </w:r>
      <w:r w:rsidR="00A118BF">
        <w:rPr>
          <w:rFonts w:ascii="Arial" w:hAnsi="Arial" w:cs="Arial"/>
          <w:b/>
          <w:sz w:val="24"/>
          <w:szCs w:val="24"/>
        </w:rPr>
        <w:t xml:space="preserve"> </w:t>
      </w:r>
      <w:r w:rsidR="00A118BF">
        <w:rPr>
          <w:rFonts w:ascii="Arial" w:hAnsi="Arial" w:cs="Arial"/>
          <w:sz w:val="24"/>
          <w:szCs w:val="24"/>
        </w:rPr>
        <w:t xml:space="preserve">No que tange à subfunção relativa ao Ensino Médio, a Secretaria Adjunta do Tesouro Estadual </w:t>
      </w:r>
      <w:r w:rsidR="008E23A8">
        <w:rPr>
          <w:rFonts w:ascii="Arial" w:hAnsi="Arial" w:cs="Arial"/>
          <w:sz w:val="24"/>
          <w:szCs w:val="24"/>
        </w:rPr>
        <w:t xml:space="preserve">já se manifestou sobre a necessidade de se incluir as despesas com professores em efetivo exercício na referida função.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4C1C6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(Urbanismo, habitação e saneamento)</w:t>
      </w:r>
      <w:r>
        <w:rPr>
          <w:rFonts w:ascii="Arial" w:hAnsi="Arial" w:cs="Arial"/>
          <w:sz w:val="24"/>
          <w:szCs w:val="24"/>
        </w:rPr>
        <w:t xml:space="preserve">: As funções urbanismo, habitação e saneamento sofreram queda em razão da redução na internalização de operações de crédito. </w:t>
      </w:r>
    </w:p>
    <w:p w:rsidR="00627453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F36032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000839" w:rsidRDefault="009D3F01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000839">
        <w:rPr>
          <w:rFonts w:ascii="Arial" w:hAnsi="Arial" w:cs="Arial"/>
          <w:sz w:val="24"/>
          <w:szCs w:val="24"/>
        </w:rPr>
        <w:t xml:space="preserve">Relembramos que no exercício de 2018, bem como anteriores, </w:t>
      </w:r>
      <w:r w:rsidR="00887E1B">
        <w:rPr>
          <w:rFonts w:ascii="Arial" w:hAnsi="Arial" w:cs="Arial"/>
          <w:sz w:val="24"/>
          <w:szCs w:val="24"/>
        </w:rPr>
        <w:t xml:space="preserve">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</w:t>
      </w:r>
      <w:r w:rsidR="00000839">
        <w:rPr>
          <w:rFonts w:ascii="Arial" w:hAnsi="Arial" w:cs="Arial"/>
          <w:sz w:val="24"/>
          <w:szCs w:val="24"/>
        </w:rPr>
        <w:t xml:space="preserve">. </w:t>
      </w:r>
      <w:r w:rsidR="00887E1B">
        <w:rPr>
          <w:rFonts w:ascii="Arial" w:hAnsi="Arial" w:cs="Arial"/>
          <w:sz w:val="24"/>
          <w:szCs w:val="24"/>
        </w:rPr>
        <w:t xml:space="preserve">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</w:t>
      </w:r>
      <w:r w:rsidR="00000839">
        <w:rPr>
          <w:rFonts w:ascii="Arial" w:hAnsi="Arial" w:cs="Arial"/>
          <w:sz w:val="24"/>
          <w:szCs w:val="24"/>
        </w:rPr>
        <w:t xml:space="preserve"> em razão de alterações das diretrizes contábeis do Manual de Demonstrativos Fiscais (MDF) bem como orientação do Tribunal de Contas.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 xml:space="preserve">, devem seguir o que preceitua o Manual de Demonstrativos Fiscais – MDF </w:t>
      </w:r>
      <w:r w:rsidR="00B82FF5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 válida para 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STN.</w:t>
      </w:r>
    </w:p>
    <w:p w:rsidR="001075CB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3066B1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4D03F0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5677DB" w:rsidRPr="005677DB">
        <w:rPr>
          <w:rFonts w:ascii="Arial" w:hAnsi="Arial" w:cs="Arial"/>
          <w:sz w:val="24"/>
          <w:szCs w:val="24"/>
        </w:rPr>
        <w:t xml:space="preserve">1.071.300.015,98 </w:t>
      </w:r>
      <w:r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>um bilhão setenta e um milhões trezentos mil quinze reais e noventa e oito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Nesse sentido:</w:t>
      </w:r>
    </w:p>
    <w:p w:rsidR="00DE1321" w:rsidRPr="003066B1" w:rsidRDefault="00DE1321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7DB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9329D9" w:rsidRPr="009F5946" w:rsidRDefault="00BC7AD7" w:rsidP="00B05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1.172.048.198,49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Repasse aos Poderes e entidades</w:t>
            </w:r>
            <w:r w:rsidR="008B5A26" w:rsidRPr="005677DB">
              <w:rPr>
                <w:rFonts w:ascii="Arial" w:hAnsi="Arial" w:cs="Arial"/>
                <w:sz w:val="22"/>
                <w:szCs w:val="22"/>
              </w:rPr>
              <w:t xml:space="preserve"> constitucionalmente</w:t>
            </w:r>
            <w:r w:rsidRPr="005677DB">
              <w:rPr>
                <w:rFonts w:ascii="Arial" w:hAnsi="Arial" w:cs="Arial"/>
                <w:sz w:val="22"/>
                <w:szCs w:val="22"/>
              </w:rPr>
              <w:t xml:space="preserve"> autônomas</w:t>
            </w:r>
          </w:p>
        </w:tc>
        <w:tc>
          <w:tcPr>
            <w:tcW w:w="2979" w:type="dxa"/>
            <w:vAlign w:val="center"/>
          </w:tcPr>
          <w:p w:rsidR="009329D9" w:rsidRPr="009F5946" w:rsidRDefault="006B1F3B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-234.585.387,87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center"/>
          </w:tcPr>
          <w:p w:rsidR="009329D9" w:rsidRPr="009F5946" w:rsidRDefault="006B1F3B" w:rsidP="00B05F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-170.312.642,23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color w:val="000000"/>
                <w:sz w:val="22"/>
                <w:szCs w:val="22"/>
              </w:rPr>
              <w:t>38.332.061,48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color w:val="000000"/>
                <w:sz w:val="22"/>
                <w:szCs w:val="22"/>
              </w:rPr>
              <w:t>107.734.576,41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color w:val="000000"/>
                <w:sz w:val="22"/>
                <w:szCs w:val="22"/>
              </w:rPr>
              <w:t>151.347.337,73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color w:val="000000"/>
                <w:sz w:val="22"/>
                <w:szCs w:val="22"/>
              </w:rPr>
              <w:t>61.002.264,05</w:t>
            </w:r>
          </w:p>
        </w:tc>
      </w:tr>
      <w:tr w:rsidR="009329D9" w:rsidRPr="003066B1" w:rsidTr="00B05F83">
        <w:trPr>
          <w:jc w:val="center"/>
        </w:trPr>
        <w:tc>
          <w:tcPr>
            <w:tcW w:w="3830" w:type="dxa"/>
            <w:vAlign w:val="center"/>
          </w:tcPr>
          <w:p w:rsidR="009329D9" w:rsidRPr="005677DB" w:rsidRDefault="009329D9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77DB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9329D9" w:rsidRPr="009F5946" w:rsidRDefault="00532B94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9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color w:val="000000"/>
                <w:sz w:val="22"/>
                <w:szCs w:val="22"/>
              </w:rPr>
              <w:t>25.608.825,78</w:t>
            </w:r>
          </w:p>
        </w:tc>
      </w:tr>
      <w:tr w:rsidR="006B1F3B" w:rsidRPr="003066B1" w:rsidTr="00B05F83">
        <w:trPr>
          <w:jc w:val="center"/>
        </w:trPr>
        <w:tc>
          <w:tcPr>
            <w:tcW w:w="3830" w:type="dxa"/>
            <w:vAlign w:val="center"/>
          </w:tcPr>
          <w:p w:rsidR="006B1F3B" w:rsidRPr="005677DB" w:rsidRDefault="006B1F3B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da LC 173/2020</w:t>
            </w:r>
          </w:p>
        </w:tc>
        <w:tc>
          <w:tcPr>
            <w:tcW w:w="2979" w:type="dxa"/>
            <w:vAlign w:val="center"/>
          </w:tcPr>
          <w:p w:rsidR="006B1F3B" w:rsidRPr="009F5946" w:rsidRDefault="006B1F3B" w:rsidP="006B1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-57.666.259,90</w:t>
            </w:r>
          </w:p>
        </w:tc>
      </w:tr>
      <w:tr w:rsidR="009329D9" w:rsidRPr="003066B1" w:rsidTr="009E3BDC">
        <w:trPr>
          <w:jc w:val="center"/>
        </w:trPr>
        <w:tc>
          <w:tcPr>
            <w:tcW w:w="3830" w:type="dxa"/>
            <w:shd w:val="clear" w:color="auto" w:fill="000000"/>
            <w:vAlign w:val="center"/>
          </w:tcPr>
          <w:p w:rsidR="009329D9" w:rsidRPr="009E3BDC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E3B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000000"/>
            <w:vAlign w:val="center"/>
          </w:tcPr>
          <w:p w:rsidR="009329D9" w:rsidRPr="009F5946" w:rsidRDefault="006B1F3B" w:rsidP="00B05F8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B1F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325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  <w:r w:rsidRPr="006B1F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458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  <w:r w:rsidRPr="006B1F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843,04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5677DB" w:rsidRPr="00584B73">
        <w:rPr>
          <w:rFonts w:ascii="Arial" w:hAnsi="Arial" w:cs="Arial"/>
          <w:sz w:val="24"/>
          <w:szCs w:val="24"/>
        </w:rPr>
        <w:t xml:space="preserve">R$ </w:t>
      </w:r>
      <w:r w:rsidR="005677DB" w:rsidRPr="005677DB">
        <w:rPr>
          <w:rFonts w:ascii="Arial" w:hAnsi="Arial" w:cs="Arial"/>
          <w:sz w:val="24"/>
          <w:szCs w:val="24"/>
        </w:rPr>
        <w:t>1.</w:t>
      </w:r>
      <w:r w:rsidR="006B1F3B">
        <w:rPr>
          <w:rFonts w:ascii="Arial" w:hAnsi="Arial" w:cs="Arial"/>
          <w:sz w:val="24"/>
          <w:szCs w:val="24"/>
        </w:rPr>
        <w:t>172.048.198,49</w:t>
      </w:r>
      <w:r w:rsidR="005677DB" w:rsidRPr="005677DB">
        <w:rPr>
          <w:rFonts w:ascii="Arial" w:hAnsi="Arial" w:cs="Arial"/>
          <w:sz w:val="24"/>
          <w:szCs w:val="24"/>
        </w:rPr>
        <w:t xml:space="preserve"> </w:t>
      </w:r>
      <w:r w:rsidR="005677DB"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 xml:space="preserve">um bilhão </w:t>
      </w:r>
      <w:r w:rsidR="006B1F3B">
        <w:rPr>
          <w:rFonts w:ascii="Arial" w:hAnsi="Arial" w:cs="Arial"/>
          <w:sz w:val="24"/>
          <w:szCs w:val="24"/>
        </w:rPr>
        <w:t>sento e setenta e dois milhões, quarenta e oito mil, cento e noventa e oito reais e quarenta e nove centavos</w:t>
      </w:r>
      <w:r w:rsidR="005677DB" w:rsidRPr="00584B73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>,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 xml:space="preserve">depois de feita a necessária destinação, resta </w:t>
      </w:r>
      <w:r w:rsidR="00EF5EF1" w:rsidRPr="009743F6">
        <w:rPr>
          <w:rFonts w:ascii="Arial" w:hAnsi="Arial" w:cs="Arial"/>
          <w:sz w:val="24"/>
          <w:szCs w:val="22"/>
        </w:rPr>
        <w:t>no</w:t>
      </w:r>
      <w:r w:rsidRPr="009743F6">
        <w:rPr>
          <w:rFonts w:ascii="Arial" w:hAnsi="Arial" w:cs="Arial"/>
          <w:sz w:val="24"/>
          <w:szCs w:val="22"/>
        </w:rPr>
        <w:t xml:space="preserve"> Caixa Bruto a importância de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5677DB">
        <w:rPr>
          <w:rFonts w:ascii="Arial" w:hAnsi="Arial" w:cs="Arial"/>
          <w:sz w:val="24"/>
          <w:szCs w:val="22"/>
        </w:rPr>
        <w:t xml:space="preserve">R$ </w:t>
      </w:r>
      <w:r w:rsidR="006B1F3B">
        <w:rPr>
          <w:rFonts w:ascii="Arial" w:hAnsi="Arial" w:cs="Arial"/>
          <w:sz w:val="24"/>
          <w:szCs w:val="22"/>
        </w:rPr>
        <w:t>325.458.843,04</w:t>
      </w:r>
      <w:r w:rsidR="005677DB" w:rsidRPr="005677DB">
        <w:rPr>
          <w:rFonts w:ascii="Arial" w:hAnsi="Arial" w:cs="Arial"/>
          <w:sz w:val="24"/>
          <w:szCs w:val="22"/>
        </w:rPr>
        <w:t xml:space="preserve"> </w:t>
      </w:r>
      <w:r w:rsidRPr="005677DB">
        <w:rPr>
          <w:rFonts w:ascii="Arial" w:hAnsi="Arial" w:cs="Arial"/>
          <w:sz w:val="24"/>
          <w:szCs w:val="22"/>
        </w:rPr>
        <w:t>(</w:t>
      </w:r>
      <w:r w:rsidR="005677DB" w:rsidRPr="005677DB">
        <w:rPr>
          <w:rFonts w:ascii="Arial" w:hAnsi="Arial" w:cs="Arial"/>
          <w:sz w:val="24"/>
          <w:szCs w:val="22"/>
        </w:rPr>
        <w:t xml:space="preserve">trezentos e </w:t>
      </w:r>
      <w:r w:rsidR="006B1F3B">
        <w:rPr>
          <w:rFonts w:ascii="Arial" w:hAnsi="Arial" w:cs="Arial"/>
          <w:sz w:val="24"/>
          <w:szCs w:val="22"/>
        </w:rPr>
        <w:t>vinte e cinco milhões, quatrocentos e cinqüenta e oito mil, oitocentos e quarenta e três reais</w:t>
      </w:r>
      <w:r w:rsidRPr="005677DB">
        <w:rPr>
          <w:rFonts w:ascii="Arial" w:hAnsi="Arial" w:cs="Arial"/>
          <w:sz w:val="24"/>
          <w:szCs w:val="22"/>
        </w:rPr>
        <w:t>)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lastRenderedPageBreak/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p w:rsidR="004D03F0" w:rsidRPr="0007558C" w:rsidRDefault="004D03F0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sz w:val="22"/>
                <w:szCs w:val="22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17244B" w:rsidRPr="00D8031A" w:rsidRDefault="006B1F3B" w:rsidP="00AC3D4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325.458.843,04</w:t>
            </w:r>
          </w:p>
        </w:tc>
      </w:tr>
      <w:tr w:rsidR="005D652F" w:rsidRPr="005D652F" w:rsidTr="005D652F">
        <w:trPr>
          <w:jc w:val="center"/>
        </w:trPr>
        <w:tc>
          <w:tcPr>
            <w:tcW w:w="3827" w:type="dxa"/>
            <w:vAlign w:val="center"/>
          </w:tcPr>
          <w:p w:rsidR="005D652F" w:rsidRPr="009F5946" w:rsidRDefault="005D652F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9F5946" w:rsidRDefault="00C704A2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B1F3B">
              <w:rPr>
                <w:rFonts w:ascii="Arial" w:hAnsi="Arial" w:cs="Arial"/>
                <w:sz w:val="22"/>
                <w:szCs w:val="22"/>
              </w:rPr>
              <w:t>9.593.258,20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9F5946" w:rsidRDefault="00C704A2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-2.025.010.33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9F5946" w:rsidRDefault="00C704A2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-113.406.755,91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9F5946" w:rsidRDefault="00C704A2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8031A" w:rsidRPr="00D8031A">
              <w:rPr>
                <w:rFonts w:ascii="Arial" w:hAnsi="Arial" w:cs="Arial"/>
                <w:sz w:val="22"/>
                <w:szCs w:val="22"/>
              </w:rPr>
              <w:t>2.022.993,25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9F5946" w:rsidRDefault="00D8031A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31A">
              <w:rPr>
                <w:rFonts w:ascii="Arial" w:hAnsi="Arial" w:cs="Arial"/>
                <w:sz w:val="22"/>
                <w:szCs w:val="22"/>
              </w:rPr>
              <w:t xml:space="preserve">-   </w:t>
            </w:r>
          </w:p>
        </w:tc>
      </w:tr>
      <w:tr w:rsidR="0017244B" w:rsidRPr="005D652F" w:rsidTr="005D652F">
        <w:trPr>
          <w:jc w:val="center"/>
        </w:trPr>
        <w:tc>
          <w:tcPr>
            <w:tcW w:w="3827" w:type="dxa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46">
              <w:rPr>
                <w:rFonts w:ascii="Arial" w:hAnsi="Arial" w:cs="Arial"/>
                <w:sz w:val="22"/>
                <w:szCs w:val="22"/>
              </w:rPr>
              <w:t>Rendimento de Operação de Crédito</w:t>
            </w:r>
          </w:p>
        </w:tc>
        <w:tc>
          <w:tcPr>
            <w:tcW w:w="2977" w:type="dxa"/>
            <w:vAlign w:val="center"/>
          </w:tcPr>
          <w:p w:rsidR="0017244B" w:rsidRPr="009F5946" w:rsidRDefault="00C704A2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-16.241.423,42</w:t>
            </w:r>
          </w:p>
        </w:tc>
      </w:tr>
      <w:tr w:rsidR="0017244B" w:rsidRPr="005D652F" w:rsidTr="00D8031A">
        <w:trPr>
          <w:jc w:val="center"/>
        </w:trPr>
        <w:tc>
          <w:tcPr>
            <w:tcW w:w="3827" w:type="dxa"/>
            <w:shd w:val="clear" w:color="auto" w:fill="000000"/>
            <w:vAlign w:val="center"/>
          </w:tcPr>
          <w:p w:rsidR="0017244B" w:rsidRPr="009F5946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946">
              <w:rPr>
                <w:rFonts w:ascii="Arial" w:hAnsi="Arial" w:cs="Arial"/>
                <w:b/>
                <w:bCs/>
                <w:sz w:val="22"/>
                <w:szCs w:val="22"/>
              </w:rPr>
              <w:t>DISPONIBILIDADE DE RECURSOS DO TESOURO</w:t>
            </w:r>
            <w:r w:rsidR="00EF5EF1" w:rsidRPr="009F5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ESTADUAL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17244B" w:rsidRPr="009F5946" w:rsidRDefault="00C704A2" w:rsidP="00D239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04A2"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C704A2"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C704A2">
              <w:rPr>
                <w:rFonts w:ascii="Arial" w:hAnsi="Arial" w:cs="Arial"/>
                <w:b/>
                <w:bCs/>
                <w:sz w:val="22"/>
                <w:szCs w:val="22"/>
              </w:rPr>
              <w:t>412,26</w:t>
            </w: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 xml:space="preserve">, o </w:t>
      </w:r>
      <w:r w:rsidRPr="00613741">
        <w:rPr>
          <w:rFonts w:ascii="Arial" w:hAnsi="Arial" w:cs="Arial"/>
          <w:sz w:val="24"/>
          <w:szCs w:val="24"/>
        </w:rPr>
        <w:t>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613741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613741" w:rsidRPr="00613741">
        <w:rPr>
          <w:rFonts w:ascii="Arial" w:hAnsi="Arial" w:cs="Arial"/>
          <w:sz w:val="24"/>
          <w:szCs w:val="24"/>
        </w:rPr>
        <w:t>R$ 4.</w:t>
      </w:r>
      <w:r w:rsidR="00C704A2">
        <w:rPr>
          <w:rFonts w:ascii="Arial" w:hAnsi="Arial" w:cs="Arial"/>
          <w:sz w:val="24"/>
          <w:szCs w:val="24"/>
        </w:rPr>
        <w:t>444.729.239,65</w:t>
      </w:r>
      <w:r w:rsidRPr="00613741">
        <w:rPr>
          <w:rFonts w:ascii="Arial" w:hAnsi="Arial" w:cs="Arial"/>
          <w:sz w:val="24"/>
          <w:szCs w:val="24"/>
        </w:rPr>
        <w:t xml:space="preserve"> (</w:t>
      </w:r>
      <w:r w:rsidR="00613741" w:rsidRPr="00613741">
        <w:rPr>
          <w:rFonts w:ascii="Arial" w:hAnsi="Arial" w:cs="Arial"/>
          <w:sz w:val="24"/>
          <w:szCs w:val="24"/>
        </w:rPr>
        <w:t xml:space="preserve">quatro bilhões quatrocentos e </w:t>
      </w:r>
      <w:r w:rsidR="00C704A2">
        <w:rPr>
          <w:rFonts w:ascii="Arial" w:hAnsi="Arial" w:cs="Arial"/>
          <w:sz w:val="24"/>
          <w:szCs w:val="24"/>
        </w:rPr>
        <w:t>quarenta e quatro milhões, setecentos e vinte e nove mil, duzentos e trinta e nove reais e sessenta e cinco centavos</w:t>
      </w:r>
      <w:r w:rsidRPr="00613741">
        <w:rPr>
          <w:rFonts w:ascii="Arial" w:hAnsi="Arial" w:cs="Arial"/>
          <w:sz w:val="24"/>
          <w:szCs w:val="24"/>
        </w:rPr>
        <w:t>).</w:t>
      </w:r>
    </w:p>
    <w:p w:rsidR="00B82FF5" w:rsidRDefault="00B82FF5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5E3261" w:rsidRDefault="005E3261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Linhas 14 e 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6315">
        <w:rPr>
          <w:rFonts w:ascii="Arial" w:hAnsi="Arial" w:cs="Arial"/>
          <w:color w:val="000000"/>
          <w:sz w:val="24"/>
          <w:szCs w:val="24"/>
        </w:rPr>
        <w:t>81,85</w:t>
      </w:r>
      <w:r w:rsidRPr="00D32D37">
        <w:rPr>
          <w:rFonts w:ascii="Arial" w:hAnsi="Arial" w:cs="Arial"/>
          <w:color w:val="000000"/>
          <w:sz w:val="24"/>
          <w:szCs w:val="24"/>
        </w:rPr>
        <w:t>% (</w:t>
      </w:r>
      <w:r w:rsidR="008F1502">
        <w:rPr>
          <w:rFonts w:ascii="Arial" w:hAnsi="Arial" w:cs="Arial"/>
          <w:color w:val="000000"/>
          <w:sz w:val="24"/>
          <w:szCs w:val="24"/>
        </w:rPr>
        <w:t>setenta e dois vírgula cinquenta e seis por cento</w:t>
      </w:r>
      <w:r w:rsidRPr="00D32D37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  <w:r w:rsidRPr="001465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>“(...)</w:t>
      </w:r>
      <w:r w:rsidR="004649B8">
        <w:rPr>
          <w:rFonts w:ascii="Arial" w:hAnsi="Arial" w:cs="Arial"/>
          <w:i/>
          <w:sz w:val="24"/>
          <w:szCs w:val="24"/>
        </w:rPr>
        <w:t xml:space="preserve"> </w:t>
      </w:r>
      <w:r w:rsidRPr="001B3F7F">
        <w:rPr>
          <w:rFonts w:ascii="Arial" w:hAnsi="Arial" w:cs="Arial"/>
          <w:i/>
          <w:sz w:val="24"/>
          <w:szCs w:val="24"/>
        </w:rPr>
        <w:t xml:space="preserve">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Pr="001B3F7F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Pr="001B3F7F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Saúde:</w:t>
      </w:r>
    </w:p>
    <w:p w:rsidR="00F47B6A" w:rsidRPr="00A72AEE" w:rsidRDefault="00F47B6A" w:rsidP="00F47B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Nesse sentido, o Estado do Acre aplicou </w:t>
      </w:r>
      <w:r w:rsidR="0078418C" w:rsidRPr="004F079E">
        <w:rPr>
          <w:rFonts w:ascii="Arial" w:hAnsi="Arial" w:cs="Arial"/>
          <w:sz w:val="24"/>
          <w:szCs w:val="24"/>
        </w:rPr>
        <w:t xml:space="preserve">R$ </w:t>
      </w:r>
      <w:r w:rsidR="00885233">
        <w:rPr>
          <w:rFonts w:ascii="Arial" w:hAnsi="Arial" w:cs="Arial"/>
          <w:sz w:val="24"/>
          <w:szCs w:val="24"/>
        </w:rPr>
        <w:t>30.511.132,73</w:t>
      </w:r>
      <w:r w:rsidR="004F079E">
        <w:rPr>
          <w:rFonts w:ascii="Arial" w:hAnsi="Arial" w:cs="Arial"/>
          <w:sz w:val="24"/>
          <w:szCs w:val="24"/>
        </w:rPr>
        <w:t xml:space="preserve"> (</w:t>
      </w:r>
      <w:r w:rsidR="00885233">
        <w:rPr>
          <w:rFonts w:ascii="Arial" w:hAnsi="Arial" w:cs="Arial"/>
          <w:sz w:val="24"/>
          <w:szCs w:val="24"/>
        </w:rPr>
        <w:t>Trinta milhões, quinhentos e onze mil, cento e trinta e dois reais e setenta e três centavos</w:t>
      </w:r>
      <w:r w:rsidR="004F079E">
        <w:rPr>
          <w:rFonts w:ascii="Arial" w:hAnsi="Arial" w:cs="Arial"/>
          <w:sz w:val="24"/>
          <w:szCs w:val="24"/>
        </w:rPr>
        <w:t>)</w:t>
      </w:r>
      <w:r w:rsidR="0078418C">
        <w:rPr>
          <w:rFonts w:ascii="Arial" w:hAnsi="Arial" w:cs="Arial"/>
          <w:sz w:val="24"/>
          <w:szCs w:val="24"/>
        </w:rPr>
        <w:t xml:space="preserve"> acima do limite mínimo em ações de Saúde. </w:t>
      </w:r>
    </w:p>
    <w:p w:rsidR="00885233" w:rsidRDefault="00885233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885233" w:rsidRDefault="00885233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despesas relacionadas ao combate do COVID-19 bem como todos os recursos da Lei Complementar 173/2020 classificada como fonte 900 pelo orçamento estadual, não fazem parte do cálculo das despesas consideradas para fins de apuração do limite mínimo de 12%.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1B3F7F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(PPP):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sectPr w:rsidR="00973534" w:rsidRPr="00973534" w:rsidSect="00641FD7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FD" w:rsidRDefault="002B2CFD">
      <w:r>
        <w:separator/>
      </w:r>
    </w:p>
  </w:endnote>
  <w:endnote w:type="continuationSeparator" w:id="1">
    <w:p w:rsidR="002B2CFD" w:rsidRDefault="002B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5F3113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5F3113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FD" w:rsidRDefault="002B2CFD">
      <w:r>
        <w:separator/>
      </w:r>
    </w:p>
  </w:footnote>
  <w:footnote w:type="continuationSeparator" w:id="1">
    <w:p w:rsidR="002B2CFD" w:rsidRDefault="002B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5F3113" w:rsidP="00641FD7">
    <w:pPr>
      <w:pStyle w:val="Cabealho"/>
      <w:rPr>
        <w:rFonts w:eastAsia="Arial Unicode MS"/>
        <w:szCs w:val="24"/>
      </w:rPr>
    </w:pPr>
    <w:r w:rsidRPr="005F3113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474D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27F8A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C02A1"/>
    <w:rsid w:val="001C2893"/>
    <w:rsid w:val="001C47C7"/>
    <w:rsid w:val="001C766E"/>
    <w:rsid w:val="001C76DB"/>
    <w:rsid w:val="001D31D3"/>
    <w:rsid w:val="001D6855"/>
    <w:rsid w:val="001E0A42"/>
    <w:rsid w:val="001E563C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2CFD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62A0"/>
    <w:rsid w:val="002F6B3E"/>
    <w:rsid w:val="002F752C"/>
    <w:rsid w:val="003031DF"/>
    <w:rsid w:val="00303FB9"/>
    <w:rsid w:val="003062F8"/>
    <w:rsid w:val="003066B1"/>
    <w:rsid w:val="003066C6"/>
    <w:rsid w:val="0031202D"/>
    <w:rsid w:val="0031421F"/>
    <w:rsid w:val="00317C2F"/>
    <w:rsid w:val="00330810"/>
    <w:rsid w:val="00331DDD"/>
    <w:rsid w:val="0033448E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8A3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192D"/>
    <w:rsid w:val="003E1A8F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5AF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71F4"/>
    <w:rsid w:val="005F07A0"/>
    <w:rsid w:val="005F2049"/>
    <w:rsid w:val="005F3113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30233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1F3B"/>
    <w:rsid w:val="006B276D"/>
    <w:rsid w:val="006B4BA8"/>
    <w:rsid w:val="006B5EC9"/>
    <w:rsid w:val="006B6854"/>
    <w:rsid w:val="006B74F0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7670A"/>
    <w:rsid w:val="0078418C"/>
    <w:rsid w:val="007917B7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7C35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5233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6315"/>
    <w:rsid w:val="008B77C7"/>
    <w:rsid w:val="008B7AC8"/>
    <w:rsid w:val="008B7B45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3CFF"/>
    <w:rsid w:val="00924BFE"/>
    <w:rsid w:val="00927FC5"/>
    <w:rsid w:val="009326E6"/>
    <w:rsid w:val="00932919"/>
    <w:rsid w:val="009329D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6F9D"/>
    <w:rsid w:val="00997EEC"/>
    <w:rsid w:val="009A706C"/>
    <w:rsid w:val="009A730F"/>
    <w:rsid w:val="009B075C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72C7"/>
    <w:rsid w:val="00B47A2F"/>
    <w:rsid w:val="00B603F4"/>
    <w:rsid w:val="00B62CB2"/>
    <w:rsid w:val="00B63933"/>
    <w:rsid w:val="00B666EF"/>
    <w:rsid w:val="00B73EF3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C7AD7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C0212D"/>
    <w:rsid w:val="00C02B99"/>
    <w:rsid w:val="00C02F8E"/>
    <w:rsid w:val="00C058EF"/>
    <w:rsid w:val="00C07181"/>
    <w:rsid w:val="00C07CA2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613F6"/>
    <w:rsid w:val="00C63A4B"/>
    <w:rsid w:val="00C704A2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6D9"/>
    <w:rsid w:val="00D45111"/>
    <w:rsid w:val="00D47E4C"/>
    <w:rsid w:val="00D54CCF"/>
    <w:rsid w:val="00D5727D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08F8"/>
    <w:rsid w:val="00E82E9B"/>
    <w:rsid w:val="00E83045"/>
    <w:rsid w:val="00E90402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57CC"/>
    <w:rsid w:val="00F26686"/>
    <w:rsid w:val="00F30C05"/>
    <w:rsid w:val="00F31087"/>
    <w:rsid w:val="00F34943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4119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B18-8A5A-44B8-9EA2-203D913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2020-07-29T17:22:00Z</dcterms:created>
  <dcterms:modified xsi:type="dcterms:W3CDTF">2020-07-29T17:22:00Z</dcterms:modified>
</cp:coreProperties>
</file>