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4DE8" w:rsidRPr="001B3F7F" w:rsidRDefault="00A64DE8" w:rsidP="00F56D80">
      <w:pPr>
        <w:pStyle w:val="Corpodetexto"/>
        <w:spacing w:line="276" w:lineRule="auto"/>
        <w:ind w:firstLine="1134"/>
        <w:rPr>
          <w:rFonts w:ascii="Arial" w:hAnsi="Arial" w:cs="Arial"/>
          <w:b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 xml:space="preserve">                                NOTA EXPLICATIVA</w:t>
      </w:r>
    </w:p>
    <w:p w:rsidR="00A64DE8" w:rsidRPr="001B3F7F" w:rsidRDefault="00A64DE8" w:rsidP="00F56D80">
      <w:pPr>
        <w:pStyle w:val="Corpodetexto"/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:rsidR="006478AC" w:rsidRPr="00793879" w:rsidRDefault="006C7FF5" w:rsidP="00B00814">
      <w:pPr>
        <w:pStyle w:val="Corpodetexto"/>
        <w:spacing w:after="120" w:line="276" w:lineRule="auto"/>
        <w:ind w:firstLine="1134"/>
        <w:rPr>
          <w:rFonts w:ascii="Arial" w:hAnsi="Arial" w:cs="Arial"/>
          <w:sz w:val="24"/>
          <w:szCs w:val="24"/>
          <w:u w:val="single"/>
        </w:rPr>
      </w:pPr>
      <w:r w:rsidRPr="001B3F7F">
        <w:rPr>
          <w:rFonts w:ascii="Arial" w:hAnsi="Arial" w:cs="Arial"/>
          <w:sz w:val="24"/>
          <w:szCs w:val="24"/>
        </w:rPr>
        <w:t xml:space="preserve">A </w:t>
      </w:r>
      <w:r w:rsidR="006478AC" w:rsidRPr="001B3F7F">
        <w:rPr>
          <w:rFonts w:ascii="Arial" w:hAnsi="Arial" w:cs="Arial"/>
          <w:sz w:val="24"/>
          <w:szCs w:val="24"/>
        </w:rPr>
        <w:t xml:space="preserve">presente NOTA EXPLICATIVA tem por propósito apresentar o entendimento demonstrado </w:t>
      </w:r>
      <w:r w:rsidR="00384585">
        <w:rPr>
          <w:rFonts w:ascii="Arial" w:hAnsi="Arial" w:cs="Arial"/>
          <w:sz w:val="24"/>
          <w:szCs w:val="24"/>
        </w:rPr>
        <w:t>n</w:t>
      </w:r>
      <w:r w:rsidR="006478AC" w:rsidRPr="001B3F7F">
        <w:rPr>
          <w:rFonts w:ascii="Arial" w:hAnsi="Arial" w:cs="Arial"/>
          <w:sz w:val="24"/>
          <w:szCs w:val="24"/>
        </w:rPr>
        <w:t>o Relatório Resumido da Execução Orçamentária – RREO</w:t>
      </w:r>
      <w:r w:rsidR="00C02DFE">
        <w:rPr>
          <w:rFonts w:ascii="Arial" w:hAnsi="Arial" w:cs="Arial"/>
          <w:sz w:val="24"/>
          <w:szCs w:val="24"/>
        </w:rPr>
        <w:t xml:space="preserve">, </w:t>
      </w:r>
      <w:r w:rsidR="00793879">
        <w:rPr>
          <w:rFonts w:ascii="Arial" w:hAnsi="Arial" w:cs="Arial"/>
          <w:sz w:val="24"/>
          <w:szCs w:val="24"/>
        </w:rPr>
        <w:t>referente</w:t>
      </w:r>
      <w:r w:rsidR="00C02DFE">
        <w:rPr>
          <w:rFonts w:ascii="Arial" w:hAnsi="Arial" w:cs="Arial"/>
          <w:sz w:val="24"/>
          <w:szCs w:val="24"/>
        </w:rPr>
        <w:t xml:space="preserve"> ao </w:t>
      </w:r>
      <w:r w:rsidR="00932D5D">
        <w:rPr>
          <w:rFonts w:ascii="Arial" w:hAnsi="Arial" w:cs="Arial"/>
          <w:sz w:val="24"/>
          <w:szCs w:val="24"/>
        </w:rPr>
        <w:t>6</w:t>
      </w:r>
      <w:r w:rsidR="00C02DFE">
        <w:rPr>
          <w:rFonts w:ascii="Arial" w:hAnsi="Arial" w:cs="Arial"/>
          <w:sz w:val="24"/>
          <w:szCs w:val="24"/>
        </w:rPr>
        <w:t>º Bimestre de 2020</w:t>
      </w:r>
      <w:r w:rsidR="006478AC" w:rsidRPr="001B3F7F">
        <w:rPr>
          <w:rFonts w:ascii="Arial" w:hAnsi="Arial" w:cs="Arial"/>
          <w:sz w:val="24"/>
          <w:szCs w:val="24"/>
        </w:rPr>
        <w:t>, com fundamento no artigo 53</w:t>
      </w:r>
      <w:r w:rsidR="00F56D80" w:rsidRPr="001B3F7F">
        <w:rPr>
          <w:rFonts w:ascii="Arial" w:hAnsi="Arial" w:cs="Arial"/>
          <w:sz w:val="24"/>
          <w:szCs w:val="24"/>
        </w:rPr>
        <w:t xml:space="preserve">da Lei nº 101, de 04/05/2000 (Lei de Responsabilidade Fiscal), em </w:t>
      </w:r>
      <w:r w:rsidR="00F56D80" w:rsidRPr="001C76D5">
        <w:rPr>
          <w:rFonts w:ascii="Arial" w:hAnsi="Arial" w:cs="Arial"/>
          <w:sz w:val="24"/>
          <w:szCs w:val="24"/>
        </w:rPr>
        <w:t xml:space="preserve">seus </w:t>
      </w:r>
      <w:r w:rsidR="00F56D80" w:rsidRPr="001C76D5">
        <w:rPr>
          <w:rFonts w:ascii="Arial" w:hAnsi="Arial" w:cs="Arial"/>
          <w:b/>
          <w:sz w:val="24"/>
          <w:szCs w:val="24"/>
        </w:rPr>
        <w:t xml:space="preserve">ANEXOS </w:t>
      </w:r>
      <w:r w:rsidR="00E657CD" w:rsidRPr="001C76D5">
        <w:rPr>
          <w:rFonts w:ascii="Arial" w:hAnsi="Arial" w:cs="Arial"/>
          <w:b/>
          <w:sz w:val="24"/>
          <w:szCs w:val="24"/>
        </w:rPr>
        <w:t xml:space="preserve">1, </w:t>
      </w:r>
      <w:r w:rsidR="00384585" w:rsidRPr="001C76D5">
        <w:rPr>
          <w:rFonts w:ascii="Arial" w:hAnsi="Arial" w:cs="Arial"/>
          <w:b/>
          <w:sz w:val="24"/>
          <w:szCs w:val="24"/>
        </w:rPr>
        <w:t>2</w:t>
      </w:r>
      <w:r w:rsidR="00B7468B" w:rsidRPr="001C76D5">
        <w:rPr>
          <w:rFonts w:ascii="Arial" w:hAnsi="Arial" w:cs="Arial"/>
          <w:b/>
          <w:sz w:val="24"/>
          <w:szCs w:val="24"/>
        </w:rPr>
        <w:t xml:space="preserve">, </w:t>
      </w:r>
      <w:r w:rsidR="001C76D5" w:rsidRPr="001C76D5">
        <w:rPr>
          <w:rFonts w:ascii="Arial" w:hAnsi="Arial" w:cs="Arial"/>
          <w:b/>
          <w:sz w:val="24"/>
          <w:szCs w:val="24"/>
        </w:rPr>
        <w:t>4</w:t>
      </w:r>
      <w:r w:rsidR="00057883" w:rsidRPr="001C76D5">
        <w:rPr>
          <w:rFonts w:ascii="Arial" w:hAnsi="Arial" w:cs="Arial"/>
          <w:b/>
          <w:sz w:val="24"/>
          <w:szCs w:val="24"/>
        </w:rPr>
        <w:t>,</w:t>
      </w:r>
      <w:r w:rsidR="001C76D5" w:rsidRPr="001C76D5">
        <w:rPr>
          <w:rFonts w:ascii="Arial" w:hAnsi="Arial" w:cs="Arial"/>
          <w:b/>
          <w:sz w:val="24"/>
          <w:szCs w:val="24"/>
        </w:rPr>
        <w:t xml:space="preserve"> 6</w:t>
      </w:r>
      <w:r w:rsidR="00B7468B" w:rsidRPr="001C76D5">
        <w:rPr>
          <w:rFonts w:ascii="Arial" w:hAnsi="Arial" w:cs="Arial"/>
          <w:b/>
          <w:sz w:val="24"/>
          <w:szCs w:val="24"/>
        </w:rPr>
        <w:t>,</w:t>
      </w:r>
      <w:r w:rsidR="00E657CD" w:rsidRPr="001C76D5">
        <w:rPr>
          <w:rFonts w:ascii="Arial" w:hAnsi="Arial" w:cs="Arial"/>
          <w:b/>
          <w:sz w:val="24"/>
          <w:szCs w:val="24"/>
        </w:rPr>
        <w:t xml:space="preserve"> 8</w:t>
      </w:r>
      <w:r w:rsidR="00057883" w:rsidRPr="001C76D5">
        <w:rPr>
          <w:rFonts w:ascii="Arial" w:hAnsi="Arial" w:cs="Arial"/>
          <w:b/>
          <w:sz w:val="24"/>
          <w:szCs w:val="24"/>
        </w:rPr>
        <w:t>,</w:t>
      </w:r>
      <w:r w:rsidR="00025562">
        <w:rPr>
          <w:rFonts w:ascii="Arial" w:hAnsi="Arial" w:cs="Arial"/>
          <w:b/>
          <w:sz w:val="24"/>
          <w:szCs w:val="24"/>
        </w:rPr>
        <w:t xml:space="preserve"> 10,</w:t>
      </w:r>
      <w:r w:rsidR="00B7468B" w:rsidRPr="001C76D5">
        <w:rPr>
          <w:rFonts w:ascii="Arial" w:hAnsi="Arial" w:cs="Arial"/>
          <w:b/>
          <w:sz w:val="24"/>
          <w:szCs w:val="24"/>
        </w:rPr>
        <w:t xml:space="preserve"> 12</w:t>
      </w:r>
      <w:r w:rsidR="00057883" w:rsidRPr="001C76D5">
        <w:rPr>
          <w:rFonts w:ascii="Arial" w:hAnsi="Arial" w:cs="Arial"/>
          <w:b/>
          <w:sz w:val="24"/>
          <w:szCs w:val="24"/>
        </w:rPr>
        <w:t xml:space="preserve"> e 13</w:t>
      </w:r>
      <w:r w:rsidR="00057883" w:rsidRPr="001C76D5">
        <w:rPr>
          <w:rFonts w:ascii="Arial" w:hAnsi="Arial" w:cs="Arial"/>
          <w:sz w:val="24"/>
          <w:szCs w:val="24"/>
        </w:rPr>
        <w:t>.</w:t>
      </w:r>
    </w:p>
    <w:p w:rsidR="00F56D80" w:rsidRPr="001B3F7F" w:rsidRDefault="00F56D80" w:rsidP="00B00814">
      <w:pPr>
        <w:pStyle w:val="Corpodetexto"/>
        <w:spacing w:after="120" w:line="276" w:lineRule="auto"/>
        <w:ind w:firstLine="1134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sz w:val="24"/>
          <w:szCs w:val="24"/>
        </w:rPr>
        <w:t xml:space="preserve">Para tanto, passaremos a análise de cada um, conforme adiante. </w:t>
      </w:r>
    </w:p>
    <w:p w:rsidR="006478AC" w:rsidRPr="001B3F7F" w:rsidRDefault="006478AC" w:rsidP="00F56D80">
      <w:pPr>
        <w:pStyle w:val="Corpodetexto"/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:rsidR="007101A1" w:rsidRPr="005127C3" w:rsidRDefault="007101A1" w:rsidP="007101A1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7C3">
        <w:rPr>
          <w:rFonts w:ascii="Arial" w:hAnsi="Arial" w:cs="Arial"/>
          <w:b/>
          <w:sz w:val="24"/>
          <w:szCs w:val="24"/>
          <w:u w:val="single"/>
        </w:rPr>
        <w:t>ANEXO 1 – Balanço Orçamentário</w:t>
      </w:r>
    </w:p>
    <w:p w:rsidR="007101A1" w:rsidRDefault="007101A1" w:rsidP="007101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50ECD" w:rsidRDefault="00FD7675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01</w:t>
      </w:r>
      <w:r w:rsidR="00384585">
        <w:rPr>
          <w:rFonts w:ascii="Arial" w:hAnsi="Arial" w:cs="Arial"/>
          <w:b/>
          <w:sz w:val="24"/>
          <w:szCs w:val="24"/>
        </w:rPr>
        <w:t>–(</w:t>
      </w:r>
      <w:r w:rsidR="007E4AA6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l. 02 – Transferências Correntes</w:t>
      </w:r>
      <w:r w:rsidR="0038458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  <w:r w:rsidR="00E90402">
        <w:rPr>
          <w:rFonts w:ascii="Arial" w:hAnsi="Arial" w:cs="Arial"/>
          <w:sz w:val="24"/>
          <w:szCs w:val="24"/>
        </w:rPr>
        <w:t xml:space="preserve">O aumento </w:t>
      </w:r>
      <w:r w:rsidR="009B075C">
        <w:rPr>
          <w:rFonts w:ascii="Arial" w:hAnsi="Arial" w:cs="Arial"/>
          <w:sz w:val="24"/>
          <w:szCs w:val="24"/>
        </w:rPr>
        <w:t>da</w:t>
      </w:r>
      <w:r w:rsidR="00E90402">
        <w:rPr>
          <w:rFonts w:ascii="Arial" w:hAnsi="Arial" w:cs="Arial"/>
          <w:sz w:val="24"/>
          <w:szCs w:val="24"/>
        </w:rPr>
        <w:t>s transferências correntes se de</w:t>
      </w:r>
      <w:r w:rsidR="003D598C">
        <w:rPr>
          <w:rFonts w:ascii="Arial" w:hAnsi="Arial" w:cs="Arial"/>
          <w:sz w:val="24"/>
          <w:szCs w:val="24"/>
        </w:rPr>
        <w:t xml:space="preserve">u por conta de diversos fatores, </w:t>
      </w:r>
      <w:r w:rsidR="00176024">
        <w:rPr>
          <w:rFonts w:ascii="Arial" w:hAnsi="Arial" w:cs="Arial"/>
          <w:sz w:val="24"/>
          <w:szCs w:val="24"/>
        </w:rPr>
        <w:t>tais como:</w:t>
      </w:r>
      <w:r w:rsidR="00176024" w:rsidRPr="00872A07">
        <w:rPr>
          <w:rFonts w:ascii="Arial" w:hAnsi="Arial" w:cs="Arial"/>
          <w:sz w:val="24"/>
          <w:szCs w:val="24"/>
        </w:rPr>
        <w:t xml:space="preserve"> (i) </w:t>
      </w:r>
      <w:r w:rsidR="00872A07" w:rsidRPr="00872A07">
        <w:rPr>
          <w:rFonts w:ascii="Arial" w:hAnsi="Arial" w:cs="Arial"/>
          <w:sz w:val="24"/>
          <w:szCs w:val="24"/>
        </w:rPr>
        <w:t xml:space="preserve">Aproximadamente R$ </w:t>
      </w:r>
      <w:r w:rsidR="00050ECD" w:rsidRPr="00872A07">
        <w:rPr>
          <w:rFonts w:ascii="Arial" w:hAnsi="Arial" w:cs="Arial"/>
          <w:sz w:val="24"/>
          <w:szCs w:val="24"/>
        </w:rPr>
        <w:t>32</w:t>
      </w:r>
      <w:r w:rsidR="00872A07" w:rsidRPr="00872A07">
        <w:rPr>
          <w:rFonts w:ascii="Arial" w:hAnsi="Arial" w:cs="Arial"/>
          <w:sz w:val="24"/>
          <w:szCs w:val="24"/>
        </w:rPr>
        <w:t>.818.277,60 (trinta e dois milhões oitocentos e dezoito mil duzentos e setenta e sete reais e sessenta centavos)</w:t>
      </w:r>
      <w:r w:rsidR="00050ECD" w:rsidRPr="00872A07">
        <w:rPr>
          <w:rFonts w:ascii="Arial" w:hAnsi="Arial" w:cs="Arial"/>
          <w:sz w:val="24"/>
          <w:szCs w:val="24"/>
        </w:rPr>
        <w:t xml:space="preserve"> oriundos d</w:t>
      </w:r>
      <w:r w:rsidR="00872A07" w:rsidRPr="00872A07">
        <w:rPr>
          <w:rFonts w:ascii="Arial" w:hAnsi="Arial" w:cs="Arial"/>
          <w:sz w:val="24"/>
          <w:szCs w:val="24"/>
        </w:rPr>
        <w:t>o acordo homologado na ADPF nº 568, em razão da Operação Lava Jato</w:t>
      </w:r>
      <w:r w:rsidR="00050ECD" w:rsidRPr="00872A07">
        <w:rPr>
          <w:rFonts w:ascii="Arial" w:hAnsi="Arial" w:cs="Arial"/>
          <w:sz w:val="24"/>
          <w:szCs w:val="24"/>
        </w:rPr>
        <w:t>; (ii) Apoio financeiro concedido aos Estados pelas Medi</w:t>
      </w:r>
      <w:r w:rsidR="00E94606">
        <w:rPr>
          <w:rFonts w:ascii="Arial" w:hAnsi="Arial" w:cs="Arial"/>
          <w:sz w:val="24"/>
          <w:szCs w:val="24"/>
        </w:rPr>
        <w:t xml:space="preserve">das Provisórias nº </w:t>
      </w:r>
      <w:r w:rsidR="00E94606" w:rsidRPr="00202866">
        <w:rPr>
          <w:rFonts w:ascii="Arial" w:hAnsi="Arial" w:cs="Arial"/>
          <w:sz w:val="24"/>
          <w:szCs w:val="24"/>
        </w:rPr>
        <w:t>938 e 939</w:t>
      </w:r>
      <w:r w:rsidR="00E94606">
        <w:rPr>
          <w:rFonts w:ascii="Arial" w:hAnsi="Arial" w:cs="Arial"/>
          <w:sz w:val="24"/>
          <w:szCs w:val="24"/>
        </w:rPr>
        <w:t>;</w:t>
      </w:r>
      <w:r w:rsidR="00050ECD" w:rsidRPr="00872A07">
        <w:rPr>
          <w:rFonts w:ascii="Arial" w:hAnsi="Arial" w:cs="Arial"/>
          <w:sz w:val="24"/>
          <w:szCs w:val="24"/>
        </w:rPr>
        <w:t xml:space="preserve"> (iii) </w:t>
      </w:r>
      <w:r w:rsidR="00872A07" w:rsidRPr="00872A07">
        <w:rPr>
          <w:rFonts w:ascii="Arial" w:hAnsi="Arial" w:cs="Arial"/>
          <w:sz w:val="24"/>
          <w:szCs w:val="24"/>
        </w:rPr>
        <w:t>Outros</w:t>
      </w:r>
      <w:r w:rsidR="00C3720D" w:rsidRPr="00872A07">
        <w:rPr>
          <w:rFonts w:ascii="Arial" w:hAnsi="Arial" w:cs="Arial"/>
          <w:sz w:val="24"/>
          <w:szCs w:val="24"/>
        </w:rPr>
        <w:t xml:space="preserve"> recursos destinados para as ações de prevenção e combate ao COVID-19</w:t>
      </w:r>
      <w:r w:rsidR="00E94606">
        <w:rPr>
          <w:rFonts w:ascii="Arial" w:hAnsi="Arial" w:cs="Arial"/>
          <w:sz w:val="24"/>
          <w:szCs w:val="24"/>
        </w:rPr>
        <w:t xml:space="preserve"> em R$ 140.951.620,26 (cento e quarenta milhões, novecentos e </w:t>
      </w:r>
      <w:r w:rsidR="00AF502E">
        <w:rPr>
          <w:rFonts w:ascii="Arial" w:hAnsi="Arial" w:cs="Arial"/>
          <w:sz w:val="24"/>
          <w:szCs w:val="24"/>
        </w:rPr>
        <w:t>cinquenta</w:t>
      </w:r>
      <w:r w:rsidR="00E94606">
        <w:rPr>
          <w:rFonts w:ascii="Arial" w:hAnsi="Arial" w:cs="Arial"/>
          <w:sz w:val="24"/>
          <w:szCs w:val="24"/>
        </w:rPr>
        <w:t xml:space="preserve"> e um mil, seiscentos e vinte reais e vinte e seis centavos); e (iv) Auxílio Financeiro da LC nº 173/2020 no valor de R$ 289.719.224,52 (duzentos e oitenta e nove milhões, setecentos e dezenove mil, duzentos e vinte e quatro reais e </w:t>
      </w:r>
      <w:r w:rsidR="00AF502E">
        <w:rPr>
          <w:rFonts w:ascii="Arial" w:hAnsi="Arial" w:cs="Arial"/>
          <w:sz w:val="24"/>
          <w:szCs w:val="24"/>
        </w:rPr>
        <w:t>cinquenta</w:t>
      </w:r>
      <w:r w:rsidR="00E94606">
        <w:rPr>
          <w:rFonts w:ascii="Arial" w:hAnsi="Arial" w:cs="Arial"/>
          <w:sz w:val="24"/>
          <w:szCs w:val="24"/>
        </w:rPr>
        <w:t xml:space="preserve"> e dois centavos)</w:t>
      </w:r>
      <w:r w:rsidR="00C3720D" w:rsidRPr="00872A07">
        <w:rPr>
          <w:rFonts w:ascii="Arial" w:hAnsi="Arial" w:cs="Arial"/>
          <w:sz w:val="24"/>
          <w:szCs w:val="24"/>
        </w:rPr>
        <w:t>.</w:t>
      </w:r>
    </w:p>
    <w:p w:rsidR="00FD7675" w:rsidRDefault="00FD7675" w:rsidP="007101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96F9D" w:rsidRDefault="00996F9D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 w:rsidR="00FD7675">
        <w:rPr>
          <w:rFonts w:ascii="Arial" w:hAnsi="Arial" w:cs="Arial"/>
          <w:b/>
          <w:sz w:val="24"/>
          <w:szCs w:val="24"/>
        </w:rPr>
        <w:t>2</w:t>
      </w:r>
      <w:r w:rsidR="00384585">
        <w:rPr>
          <w:rFonts w:ascii="Arial" w:hAnsi="Arial" w:cs="Arial"/>
          <w:b/>
          <w:sz w:val="24"/>
          <w:szCs w:val="24"/>
        </w:rPr>
        <w:t>–(</w:t>
      </w:r>
      <w:r>
        <w:rPr>
          <w:rFonts w:ascii="Arial" w:hAnsi="Arial" w:cs="Arial"/>
          <w:b/>
          <w:sz w:val="24"/>
          <w:szCs w:val="24"/>
        </w:rPr>
        <w:t xml:space="preserve">fl. 03 – </w:t>
      </w:r>
      <w:r w:rsidR="00D619E3">
        <w:rPr>
          <w:rFonts w:ascii="Arial" w:hAnsi="Arial" w:cs="Arial"/>
          <w:b/>
          <w:sz w:val="24"/>
          <w:szCs w:val="24"/>
        </w:rPr>
        <w:t>Superávit Financeiro</w:t>
      </w:r>
      <w:r w:rsidR="00537327">
        <w:rPr>
          <w:rFonts w:ascii="Arial" w:hAnsi="Arial" w:cs="Arial"/>
          <w:b/>
          <w:sz w:val="24"/>
          <w:szCs w:val="24"/>
        </w:rPr>
        <w:t xml:space="preserve"> Utilizado para Créd. Adicionais</w:t>
      </w:r>
      <w:r w:rsidR="00384585">
        <w:rPr>
          <w:rFonts w:ascii="Arial" w:hAnsi="Arial" w:cs="Arial"/>
          <w:b/>
          <w:sz w:val="24"/>
          <w:szCs w:val="24"/>
        </w:rPr>
        <w:t>)</w:t>
      </w:r>
      <w:r w:rsidRPr="001B3F7F">
        <w:rPr>
          <w:rFonts w:ascii="Arial" w:hAnsi="Arial" w:cs="Arial"/>
          <w:b/>
          <w:sz w:val="24"/>
          <w:szCs w:val="24"/>
        </w:rPr>
        <w:t>:</w:t>
      </w:r>
      <w:r w:rsidR="00D619E3">
        <w:rPr>
          <w:rFonts w:ascii="Arial" w:hAnsi="Arial" w:cs="Arial"/>
          <w:sz w:val="24"/>
          <w:szCs w:val="24"/>
        </w:rPr>
        <w:t xml:space="preserve">O superávit financeiro apontado na última linha diz respeito a diversas modalidades de recursos, em sua maior parte remanescentes de aplicações </w:t>
      </w:r>
      <w:r w:rsidR="005B4DA3">
        <w:rPr>
          <w:rFonts w:ascii="Arial" w:hAnsi="Arial" w:cs="Arial"/>
          <w:sz w:val="24"/>
          <w:szCs w:val="24"/>
        </w:rPr>
        <w:t>de exercícios anteriores</w:t>
      </w:r>
      <w:r w:rsidR="00D619E3">
        <w:rPr>
          <w:rFonts w:ascii="Arial" w:hAnsi="Arial" w:cs="Arial"/>
          <w:sz w:val="24"/>
          <w:szCs w:val="24"/>
        </w:rPr>
        <w:t xml:space="preserve">, conforme </w:t>
      </w:r>
      <w:r w:rsidR="00AF502E">
        <w:rPr>
          <w:rFonts w:ascii="Arial" w:hAnsi="Arial" w:cs="Arial"/>
          <w:sz w:val="24"/>
          <w:szCs w:val="24"/>
        </w:rPr>
        <w:t>demonstrado</w:t>
      </w:r>
      <w:r w:rsidR="00D619E3">
        <w:rPr>
          <w:rFonts w:ascii="Arial" w:hAnsi="Arial" w:cs="Arial"/>
          <w:sz w:val="24"/>
          <w:szCs w:val="24"/>
        </w:rPr>
        <w:t xml:space="preserve"> a seguir:</w:t>
      </w:r>
    </w:p>
    <w:p w:rsidR="00D619E3" w:rsidRDefault="00D619E3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8"/>
        <w:gridCol w:w="4748"/>
      </w:tblGrid>
      <w:tr w:rsidR="00D619E3" w:rsidRPr="002F2EA1" w:rsidTr="0025352D">
        <w:trPr>
          <w:jc w:val="center"/>
        </w:trPr>
        <w:tc>
          <w:tcPr>
            <w:tcW w:w="4748" w:type="dxa"/>
            <w:vAlign w:val="center"/>
          </w:tcPr>
          <w:p w:rsidR="00D619E3" w:rsidRPr="002F2EA1" w:rsidRDefault="00D619E3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Recursos Próprios (Fonte 100)</w:t>
            </w:r>
          </w:p>
        </w:tc>
        <w:tc>
          <w:tcPr>
            <w:tcW w:w="4748" w:type="dxa"/>
            <w:vAlign w:val="center"/>
          </w:tcPr>
          <w:p w:rsidR="00D619E3" w:rsidRPr="002F2EA1" w:rsidRDefault="00930CBB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112.591.937,49</w:t>
            </w:r>
          </w:p>
        </w:tc>
      </w:tr>
      <w:tr w:rsidR="00D619E3" w:rsidRPr="002F2EA1" w:rsidTr="0025352D">
        <w:trPr>
          <w:jc w:val="center"/>
        </w:trPr>
        <w:tc>
          <w:tcPr>
            <w:tcW w:w="4748" w:type="dxa"/>
            <w:vAlign w:val="center"/>
          </w:tcPr>
          <w:p w:rsidR="00D619E3" w:rsidRPr="002F2EA1" w:rsidRDefault="00E94606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Convênios (Fonte 200)</w:t>
            </w:r>
          </w:p>
        </w:tc>
        <w:tc>
          <w:tcPr>
            <w:tcW w:w="4748" w:type="dxa"/>
            <w:vAlign w:val="center"/>
          </w:tcPr>
          <w:p w:rsidR="00D619E3" w:rsidRPr="002F2EA1" w:rsidRDefault="005127C3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17.715.929,80</w:t>
            </w:r>
          </w:p>
        </w:tc>
      </w:tr>
      <w:tr w:rsidR="00D619E3" w:rsidRPr="002F2EA1" w:rsidTr="0025352D">
        <w:trPr>
          <w:jc w:val="center"/>
        </w:trPr>
        <w:tc>
          <w:tcPr>
            <w:tcW w:w="4748" w:type="dxa"/>
            <w:vAlign w:val="center"/>
          </w:tcPr>
          <w:p w:rsidR="00D619E3" w:rsidRPr="002F2EA1" w:rsidRDefault="00E94606" w:rsidP="00E946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FUNDEB (Fonte 300)</w:t>
            </w:r>
          </w:p>
        </w:tc>
        <w:tc>
          <w:tcPr>
            <w:tcW w:w="4748" w:type="dxa"/>
            <w:vAlign w:val="center"/>
          </w:tcPr>
          <w:p w:rsidR="00D619E3" w:rsidRPr="002F2EA1" w:rsidRDefault="00E94606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619E3" w:rsidRPr="002F2EA1" w:rsidTr="0025352D">
        <w:trPr>
          <w:jc w:val="center"/>
        </w:trPr>
        <w:tc>
          <w:tcPr>
            <w:tcW w:w="4748" w:type="dxa"/>
            <w:vAlign w:val="center"/>
          </w:tcPr>
          <w:p w:rsidR="00D619E3" w:rsidRPr="002F2EA1" w:rsidRDefault="00A63545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SUS (Fonte 400)</w:t>
            </w:r>
          </w:p>
        </w:tc>
        <w:tc>
          <w:tcPr>
            <w:tcW w:w="4748" w:type="dxa"/>
            <w:vAlign w:val="center"/>
          </w:tcPr>
          <w:p w:rsidR="00D619E3" w:rsidRPr="002F2EA1" w:rsidRDefault="007442B6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22.374.548,82</w:t>
            </w:r>
          </w:p>
        </w:tc>
      </w:tr>
      <w:tr w:rsidR="007442B6" w:rsidRPr="002F2EA1" w:rsidTr="0025352D">
        <w:trPr>
          <w:jc w:val="center"/>
        </w:trPr>
        <w:tc>
          <w:tcPr>
            <w:tcW w:w="4748" w:type="dxa"/>
            <w:vAlign w:val="center"/>
          </w:tcPr>
          <w:p w:rsidR="007442B6" w:rsidRPr="002F2EA1" w:rsidRDefault="007442B6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Operações de Crédito (Fonte 500)</w:t>
            </w:r>
          </w:p>
        </w:tc>
        <w:tc>
          <w:tcPr>
            <w:tcW w:w="4748" w:type="dxa"/>
            <w:vAlign w:val="center"/>
          </w:tcPr>
          <w:p w:rsidR="007442B6" w:rsidRPr="002F2EA1" w:rsidRDefault="00930CBB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26.100.000,00</w:t>
            </w:r>
          </w:p>
        </w:tc>
      </w:tr>
      <w:tr w:rsidR="00D619E3" w:rsidRPr="002F2EA1" w:rsidTr="0025352D">
        <w:trPr>
          <w:jc w:val="center"/>
        </w:trPr>
        <w:tc>
          <w:tcPr>
            <w:tcW w:w="4748" w:type="dxa"/>
            <w:vAlign w:val="center"/>
          </w:tcPr>
          <w:p w:rsidR="00D619E3" w:rsidRPr="002F2EA1" w:rsidRDefault="00A63545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Recursos Próprios de Indiretas (Fonte 700)</w:t>
            </w:r>
          </w:p>
        </w:tc>
        <w:tc>
          <w:tcPr>
            <w:tcW w:w="4748" w:type="dxa"/>
            <w:vAlign w:val="center"/>
          </w:tcPr>
          <w:p w:rsidR="00D619E3" w:rsidRPr="002F2EA1" w:rsidRDefault="007442B6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14.</w:t>
            </w:r>
            <w:r w:rsidR="00930CBB">
              <w:rPr>
                <w:rFonts w:ascii="Arial" w:hAnsi="Arial" w:cs="Arial"/>
                <w:sz w:val="22"/>
                <w:szCs w:val="22"/>
              </w:rPr>
              <w:t>7</w:t>
            </w:r>
            <w:r w:rsidRPr="002F2EA1">
              <w:rPr>
                <w:rFonts w:ascii="Arial" w:hAnsi="Arial" w:cs="Arial"/>
                <w:sz w:val="22"/>
                <w:szCs w:val="22"/>
              </w:rPr>
              <w:t>62.645,11</w:t>
            </w:r>
          </w:p>
        </w:tc>
      </w:tr>
      <w:tr w:rsidR="007442B6" w:rsidRPr="002F2EA1" w:rsidTr="0025352D">
        <w:trPr>
          <w:jc w:val="center"/>
        </w:trPr>
        <w:tc>
          <w:tcPr>
            <w:tcW w:w="4748" w:type="dxa"/>
            <w:vAlign w:val="center"/>
          </w:tcPr>
          <w:p w:rsidR="007442B6" w:rsidRPr="002F2EA1" w:rsidRDefault="007442B6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Recursos Previdenciários (Fonte 800)</w:t>
            </w:r>
          </w:p>
        </w:tc>
        <w:tc>
          <w:tcPr>
            <w:tcW w:w="4748" w:type="dxa"/>
            <w:vAlign w:val="center"/>
          </w:tcPr>
          <w:p w:rsidR="007442B6" w:rsidRPr="002F2EA1" w:rsidRDefault="007442B6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442B6" w:rsidRPr="002F2EA1" w:rsidTr="007442B6">
        <w:trPr>
          <w:jc w:val="center"/>
        </w:trPr>
        <w:tc>
          <w:tcPr>
            <w:tcW w:w="4748" w:type="dxa"/>
            <w:shd w:val="clear" w:color="auto" w:fill="000000"/>
            <w:vAlign w:val="center"/>
          </w:tcPr>
          <w:p w:rsidR="007442B6" w:rsidRPr="002F2EA1" w:rsidRDefault="007442B6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TOTAL DE CRÉDITOS POR SUPERÁVIT FINANCEIRO</w:t>
            </w:r>
          </w:p>
        </w:tc>
        <w:tc>
          <w:tcPr>
            <w:tcW w:w="4748" w:type="dxa"/>
            <w:shd w:val="clear" w:color="auto" w:fill="000000"/>
            <w:vAlign w:val="center"/>
          </w:tcPr>
          <w:p w:rsidR="007442B6" w:rsidRPr="002F2EA1" w:rsidRDefault="00930CBB" w:rsidP="0025352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193.</w:t>
            </w:r>
            <w:r w:rsidR="005127C3">
              <w:rPr>
                <w:rFonts w:ascii="Arial" w:hAnsi="Arial" w:cs="Arial"/>
                <w:sz w:val="22"/>
                <w:szCs w:val="22"/>
              </w:rPr>
              <w:t>545.061,22</w:t>
            </w:r>
          </w:p>
        </w:tc>
      </w:tr>
    </w:tbl>
    <w:p w:rsidR="00D619E3" w:rsidRDefault="00D619E3" w:rsidP="008A276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46563" w:rsidRDefault="00046563" w:rsidP="007101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01A1" w:rsidRDefault="007101A1" w:rsidP="00710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lastRenderedPageBreak/>
        <w:t>Nota 0</w:t>
      </w:r>
      <w:r w:rsidR="00A020C2">
        <w:rPr>
          <w:rFonts w:ascii="Arial" w:hAnsi="Arial" w:cs="Arial"/>
          <w:b/>
          <w:sz w:val="24"/>
          <w:szCs w:val="24"/>
        </w:rPr>
        <w:t>3</w:t>
      </w:r>
      <w:r w:rsidR="00384585">
        <w:rPr>
          <w:rFonts w:ascii="Arial" w:hAnsi="Arial" w:cs="Arial"/>
          <w:b/>
          <w:sz w:val="24"/>
          <w:szCs w:val="24"/>
        </w:rPr>
        <w:t xml:space="preserve"> -</w:t>
      </w:r>
      <w:r w:rsidR="00DE7943">
        <w:rPr>
          <w:rFonts w:ascii="Arial" w:hAnsi="Arial" w:cs="Arial"/>
          <w:b/>
          <w:sz w:val="24"/>
          <w:szCs w:val="24"/>
        </w:rPr>
        <w:t xml:space="preserve"> (fl. 04 – Pessoal e Encargos Sociais)</w:t>
      </w:r>
      <w:r w:rsidRPr="001B3F7F">
        <w:rPr>
          <w:rFonts w:ascii="Arial" w:hAnsi="Arial" w:cs="Arial"/>
          <w:b/>
          <w:sz w:val="24"/>
          <w:szCs w:val="24"/>
        </w:rPr>
        <w:t>:</w:t>
      </w:r>
      <w:r w:rsidR="0075570A">
        <w:rPr>
          <w:rFonts w:ascii="Arial" w:hAnsi="Arial" w:cs="Arial"/>
          <w:sz w:val="24"/>
          <w:szCs w:val="24"/>
        </w:rPr>
        <w:t xml:space="preserve">Conforme será explicado na nota nº 01 do anexo 04 (Plano Previdenciário), em razão da modificação do procedimento de execução orçamentária do </w:t>
      </w:r>
      <w:r w:rsidR="0075570A">
        <w:rPr>
          <w:rFonts w:ascii="Arial" w:hAnsi="Arial" w:cs="Arial"/>
          <w:i/>
          <w:sz w:val="24"/>
          <w:szCs w:val="24"/>
        </w:rPr>
        <w:t xml:space="preserve">déficit </w:t>
      </w:r>
      <w:r w:rsidR="0075570A">
        <w:rPr>
          <w:rFonts w:ascii="Arial" w:hAnsi="Arial" w:cs="Arial"/>
          <w:sz w:val="24"/>
          <w:szCs w:val="24"/>
        </w:rPr>
        <w:t xml:space="preserve">previdenciário, os recursos que antes eram contabilizados na Fonte 800, passaram a ser </w:t>
      </w:r>
      <w:r w:rsidR="00794381">
        <w:rPr>
          <w:rFonts w:ascii="Arial" w:hAnsi="Arial" w:cs="Arial"/>
          <w:sz w:val="24"/>
          <w:szCs w:val="24"/>
        </w:rPr>
        <w:t xml:space="preserve">aferidos na Fonte 100. Por conta disso, os valores relativos </w:t>
      </w:r>
      <w:r w:rsidR="00910281">
        <w:rPr>
          <w:rFonts w:ascii="Arial" w:hAnsi="Arial" w:cs="Arial"/>
          <w:sz w:val="24"/>
          <w:szCs w:val="24"/>
        </w:rPr>
        <w:t>à</w:t>
      </w:r>
      <w:r w:rsidR="006279B2">
        <w:rPr>
          <w:rFonts w:ascii="Arial" w:hAnsi="Arial" w:cs="Arial"/>
          <w:sz w:val="24"/>
          <w:szCs w:val="24"/>
        </w:rPr>
        <w:t xml:space="preserve"> pessoal e encargos sociais</w:t>
      </w:r>
      <w:r w:rsidR="00794381">
        <w:rPr>
          <w:rFonts w:ascii="Arial" w:hAnsi="Arial" w:cs="Arial"/>
          <w:sz w:val="24"/>
          <w:szCs w:val="24"/>
        </w:rPr>
        <w:t xml:space="preserve"> apresentaram aumento, pois atualmente também correspondem ao montante de recursos que são suplementados de modo </w:t>
      </w:r>
      <w:r w:rsidR="00550FCC">
        <w:rPr>
          <w:rFonts w:ascii="Arial" w:hAnsi="Arial" w:cs="Arial"/>
          <w:sz w:val="24"/>
          <w:szCs w:val="24"/>
        </w:rPr>
        <w:t xml:space="preserve">a </w:t>
      </w:r>
      <w:r w:rsidR="00794381">
        <w:rPr>
          <w:rFonts w:ascii="Arial" w:hAnsi="Arial" w:cs="Arial"/>
          <w:sz w:val="24"/>
          <w:szCs w:val="24"/>
        </w:rPr>
        <w:t xml:space="preserve">suprir o referido </w:t>
      </w:r>
      <w:r w:rsidR="00886559" w:rsidRPr="00794381">
        <w:rPr>
          <w:rFonts w:ascii="Arial" w:hAnsi="Arial" w:cs="Arial"/>
          <w:i/>
          <w:sz w:val="24"/>
          <w:szCs w:val="24"/>
        </w:rPr>
        <w:t>déficit</w:t>
      </w:r>
      <w:r w:rsidR="00794381">
        <w:rPr>
          <w:rFonts w:ascii="Arial" w:hAnsi="Arial" w:cs="Arial"/>
          <w:sz w:val="24"/>
          <w:szCs w:val="24"/>
        </w:rPr>
        <w:t xml:space="preserve">. </w:t>
      </w:r>
    </w:p>
    <w:p w:rsidR="007101A1" w:rsidRDefault="007101A1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01A1" w:rsidRDefault="00504633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 w:rsidR="00A020C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(fl. 07 – </w:t>
      </w:r>
      <w:r w:rsidR="00F31087">
        <w:rPr>
          <w:rFonts w:ascii="Arial" w:hAnsi="Arial" w:cs="Arial"/>
          <w:b/>
          <w:sz w:val="24"/>
          <w:szCs w:val="24"/>
        </w:rPr>
        <w:t>Despesas intra-orçamentárias</w:t>
      </w:r>
      <w:r>
        <w:rPr>
          <w:rFonts w:ascii="Arial" w:hAnsi="Arial" w:cs="Arial"/>
          <w:b/>
          <w:sz w:val="24"/>
          <w:szCs w:val="24"/>
        </w:rPr>
        <w:t>)</w:t>
      </w:r>
      <w:r w:rsidRPr="001B3F7F">
        <w:rPr>
          <w:rFonts w:ascii="Arial" w:hAnsi="Arial" w:cs="Arial"/>
          <w:b/>
          <w:sz w:val="24"/>
          <w:szCs w:val="24"/>
        </w:rPr>
        <w:t>:</w:t>
      </w:r>
      <w:r w:rsidR="007B362E">
        <w:rPr>
          <w:rFonts w:ascii="Arial" w:hAnsi="Arial" w:cs="Arial"/>
          <w:sz w:val="24"/>
          <w:szCs w:val="24"/>
        </w:rPr>
        <w:t xml:space="preserve"> A metodologia de cálculo das despesas intra-orçamentárias sofreu modificações </w:t>
      </w:r>
      <w:r w:rsidR="00A020C2">
        <w:rPr>
          <w:rFonts w:ascii="Arial" w:hAnsi="Arial" w:cs="Arial"/>
          <w:sz w:val="24"/>
          <w:szCs w:val="24"/>
        </w:rPr>
        <w:t>n</w:t>
      </w:r>
      <w:r w:rsidR="007B362E">
        <w:rPr>
          <w:rFonts w:ascii="Arial" w:hAnsi="Arial" w:cs="Arial"/>
          <w:sz w:val="24"/>
          <w:szCs w:val="24"/>
        </w:rPr>
        <w:t xml:space="preserve">o exercício de 2019, razão pela qual os valores </w:t>
      </w:r>
      <w:r w:rsidR="007C1768">
        <w:rPr>
          <w:rFonts w:ascii="Arial" w:hAnsi="Arial" w:cs="Arial"/>
          <w:sz w:val="24"/>
          <w:szCs w:val="24"/>
        </w:rPr>
        <w:t xml:space="preserve">apontados sofreram variação. </w:t>
      </w:r>
      <w:r w:rsidR="00E36F43">
        <w:rPr>
          <w:rFonts w:ascii="Arial" w:hAnsi="Arial" w:cs="Arial"/>
          <w:sz w:val="24"/>
          <w:szCs w:val="24"/>
        </w:rPr>
        <w:t xml:space="preserve">Ademais, os valores </w:t>
      </w:r>
      <w:r w:rsidR="001B66E1">
        <w:rPr>
          <w:rFonts w:ascii="Arial" w:hAnsi="Arial" w:cs="Arial"/>
          <w:sz w:val="24"/>
          <w:szCs w:val="24"/>
        </w:rPr>
        <w:t>ilustrados</w:t>
      </w:r>
      <w:r w:rsidR="00E36F43">
        <w:rPr>
          <w:rFonts w:ascii="Arial" w:hAnsi="Arial" w:cs="Arial"/>
          <w:sz w:val="24"/>
          <w:szCs w:val="24"/>
        </w:rPr>
        <w:t xml:space="preserve"> na linha de investimentos também apresentaram redução por conta da paralisação das Fontes 500 e 200. </w:t>
      </w:r>
    </w:p>
    <w:p w:rsidR="00ED248C" w:rsidRDefault="00ED248C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127C3" w:rsidRDefault="005127C3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Pr="005127C3" w:rsidRDefault="00ED248C" w:rsidP="00ED248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7C3">
        <w:rPr>
          <w:rFonts w:ascii="Arial" w:hAnsi="Arial" w:cs="Arial"/>
          <w:b/>
          <w:sz w:val="24"/>
          <w:szCs w:val="24"/>
          <w:u w:val="single"/>
        </w:rPr>
        <w:t xml:space="preserve">ANEXO 2 – </w:t>
      </w:r>
      <w:r w:rsidR="00FD552B" w:rsidRPr="005127C3">
        <w:rPr>
          <w:rFonts w:ascii="Arial" w:hAnsi="Arial" w:cs="Arial"/>
          <w:b/>
          <w:sz w:val="24"/>
          <w:szCs w:val="24"/>
          <w:u w:val="single"/>
        </w:rPr>
        <w:t>Demonstrativo da Execução das Despesas por Função/Subfunção</w:t>
      </w:r>
    </w:p>
    <w:p w:rsidR="00276201" w:rsidRDefault="00276201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1C61" w:rsidRDefault="004C1C61" w:rsidP="003928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01</w:t>
      </w:r>
      <w:r w:rsidR="00FD552B">
        <w:rPr>
          <w:rFonts w:ascii="Arial" w:hAnsi="Arial" w:cs="Arial"/>
          <w:b/>
          <w:sz w:val="24"/>
          <w:szCs w:val="24"/>
        </w:rPr>
        <w:t xml:space="preserve"> - </w:t>
      </w:r>
      <w:r w:rsidR="009B248D">
        <w:rPr>
          <w:rFonts w:ascii="Arial" w:hAnsi="Arial" w:cs="Arial"/>
          <w:b/>
          <w:sz w:val="24"/>
          <w:szCs w:val="24"/>
        </w:rPr>
        <w:t xml:space="preserve">Função </w:t>
      </w:r>
      <w:r>
        <w:rPr>
          <w:rFonts w:ascii="Arial" w:hAnsi="Arial" w:cs="Arial"/>
          <w:b/>
          <w:sz w:val="24"/>
          <w:szCs w:val="24"/>
        </w:rPr>
        <w:t xml:space="preserve">Segurança Pública: </w:t>
      </w:r>
      <w:r w:rsidR="00630233">
        <w:rPr>
          <w:rFonts w:ascii="Arial" w:hAnsi="Arial" w:cs="Arial"/>
          <w:sz w:val="24"/>
          <w:szCs w:val="24"/>
        </w:rPr>
        <w:t>Em que pese o notório aumento na execução orçamentária da função de Segurança Pública, observa-se que a subf</w:t>
      </w:r>
      <w:r w:rsidR="005127C3">
        <w:rPr>
          <w:rFonts w:ascii="Arial" w:hAnsi="Arial" w:cs="Arial"/>
          <w:sz w:val="24"/>
          <w:szCs w:val="24"/>
        </w:rPr>
        <w:t>unção</w:t>
      </w:r>
      <w:r w:rsidR="00630233">
        <w:rPr>
          <w:rFonts w:ascii="Arial" w:hAnsi="Arial" w:cs="Arial"/>
          <w:sz w:val="24"/>
          <w:szCs w:val="24"/>
        </w:rPr>
        <w:t xml:space="preserve"> relativa a Defesa Civilencontra-se com execução zerada até o presente momento. </w:t>
      </w:r>
    </w:p>
    <w:p w:rsidR="004C1C61" w:rsidRDefault="004C1C61" w:rsidP="003928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C1C61" w:rsidRPr="00A118BF" w:rsidRDefault="004C1C61" w:rsidP="003928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C1C61">
        <w:rPr>
          <w:rFonts w:ascii="Arial" w:hAnsi="Arial" w:cs="Arial"/>
          <w:b/>
          <w:sz w:val="24"/>
          <w:szCs w:val="24"/>
        </w:rPr>
        <w:t>Nota 0</w:t>
      </w:r>
      <w:r w:rsidR="00A118BF">
        <w:rPr>
          <w:rFonts w:ascii="Arial" w:hAnsi="Arial" w:cs="Arial"/>
          <w:b/>
          <w:sz w:val="24"/>
          <w:szCs w:val="24"/>
        </w:rPr>
        <w:t>2</w:t>
      </w:r>
      <w:r w:rsidR="00FD552B">
        <w:rPr>
          <w:rFonts w:ascii="Arial" w:hAnsi="Arial" w:cs="Arial"/>
          <w:b/>
          <w:sz w:val="24"/>
          <w:szCs w:val="24"/>
        </w:rPr>
        <w:t xml:space="preserve"> - </w:t>
      </w:r>
      <w:r w:rsidR="009B248D">
        <w:rPr>
          <w:rFonts w:ascii="Arial" w:hAnsi="Arial" w:cs="Arial"/>
          <w:b/>
          <w:sz w:val="24"/>
          <w:szCs w:val="24"/>
        </w:rPr>
        <w:t xml:space="preserve">Função </w:t>
      </w:r>
      <w:r w:rsidRPr="004C1C61">
        <w:rPr>
          <w:rFonts w:ascii="Arial" w:hAnsi="Arial" w:cs="Arial"/>
          <w:b/>
          <w:sz w:val="24"/>
          <w:szCs w:val="24"/>
        </w:rPr>
        <w:t>Educação:</w:t>
      </w:r>
      <w:r w:rsidR="00A118BF">
        <w:rPr>
          <w:rFonts w:ascii="Arial" w:hAnsi="Arial" w:cs="Arial"/>
          <w:sz w:val="24"/>
          <w:szCs w:val="24"/>
        </w:rPr>
        <w:t xml:space="preserve">No que tange à subfunção relativa </w:t>
      </w:r>
      <w:r w:rsidR="00A118BF" w:rsidRPr="009B248D">
        <w:rPr>
          <w:rFonts w:ascii="Arial" w:hAnsi="Arial" w:cs="Arial"/>
          <w:sz w:val="24"/>
          <w:szCs w:val="24"/>
        </w:rPr>
        <w:t>ao Ensino</w:t>
      </w:r>
      <w:r w:rsidR="00A118BF">
        <w:rPr>
          <w:rFonts w:ascii="Arial" w:hAnsi="Arial" w:cs="Arial"/>
          <w:sz w:val="24"/>
          <w:szCs w:val="24"/>
        </w:rPr>
        <w:t xml:space="preserve"> Médio, a Secretaria Adjunta do Tesouro Estadual </w:t>
      </w:r>
      <w:r w:rsidR="008E23A8">
        <w:rPr>
          <w:rFonts w:ascii="Arial" w:hAnsi="Arial" w:cs="Arial"/>
          <w:sz w:val="24"/>
          <w:szCs w:val="24"/>
        </w:rPr>
        <w:t xml:space="preserve">já se manifestou sobre a necessidade de se incluir as despesas com professores em efetivo exercício na referida </w:t>
      </w:r>
      <w:r w:rsidR="009B248D" w:rsidRPr="009B248D">
        <w:rPr>
          <w:rFonts w:ascii="Arial" w:hAnsi="Arial" w:cs="Arial"/>
          <w:sz w:val="24"/>
          <w:szCs w:val="24"/>
        </w:rPr>
        <w:t>sub</w:t>
      </w:r>
      <w:r w:rsidR="008E23A8" w:rsidRPr="009B248D">
        <w:rPr>
          <w:rFonts w:ascii="Arial" w:hAnsi="Arial" w:cs="Arial"/>
          <w:sz w:val="24"/>
          <w:szCs w:val="24"/>
        </w:rPr>
        <w:t>função.</w:t>
      </w:r>
    </w:p>
    <w:p w:rsidR="004A22B7" w:rsidRDefault="004A22B7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D248C" w:rsidRDefault="00572383" w:rsidP="0039280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0</w:t>
      </w:r>
      <w:r w:rsidR="00FD552B">
        <w:rPr>
          <w:rFonts w:ascii="Arial" w:hAnsi="Arial" w:cs="Arial"/>
          <w:b/>
          <w:sz w:val="24"/>
          <w:szCs w:val="24"/>
        </w:rPr>
        <w:t xml:space="preserve">3 - </w:t>
      </w:r>
      <w:r w:rsidR="00B74236">
        <w:rPr>
          <w:rFonts w:ascii="Arial" w:hAnsi="Arial" w:cs="Arial"/>
          <w:b/>
          <w:sz w:val="24"/>
          <w:szCs w:val="24"/>
        </w:rPr>
        <w:t xml:space="preserve">Função </w:t>
      </w:r>
      <w:r>
        <w:rPr>
          <w:rFonts w:ascii="Arial" w:hAnsi="Arial" w:cs="Arial"/>
          <w:b/>
          <w:sz w:val="24"/>
          <w:szCs w:val="24"/>
        </w:rPr>
        <w:t>Urbanismo, habitação e saneamento</w:t>
      </w:r>
      <w:r>
        <w:rPr>
          <w:rFonts w:ascii="Arial" w:hAnsi="Arial" w:cs="Arial"/>
          <w:sz w:val="24"/>
          <w:szCs w:val="24"/>
        </w:rPr>
        <w:t xml:space="preserve">: As funções urbanismo, habitação e saneamento sofreram queda em razão da redução na internalização de operações de crédito. </w:t>
      </w:r>
    </w:p>
    <w:p w:rsidR="00627453" w:rsidRPr="009B248D" w:rsidRDefault="00627453" w:rsidP="003928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C1C61" w:rsidRDefault="004C1C61" w:rsidP="0039280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809" w:rsidRPr="005127C3" w:rsidRDefault="00392809" w:rsidP="00392809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7C3">
        <w:rPr>
          <w:rFonts w:ascii="Arial" w:hAnsi="Arial" w:cs="Arial"/>
          <w:b/>
          <w:sz w:val="24"/>
          <w:szCs w:val="24"/>
          <w:u w:val="single"/>
        </w:rPr>
        <w:t xml:space="preserve">ANEXO 4 – </w:t>
      </w:r>
      <w:r w:rsidR="00411FE7" w:rsidRPr="005127C3">
        <w:rPr>
          <w:rFonts w:ascii="Arial" w:hAnsi="Arial" w:cs="Arial"/>
          <w:b/>
          <w:sz w:val="24"/>
          <w:szCs w:val="24"/>
          <w:u w:val="single"/>
        </w:rPr>
        <w:t>Demonstrativo das Receitas e Despesas Previdenciárias do RPPS</w:t>
      </w: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Pr="00000839" w:rsidRDefault="009D3F01" w:rsidP="001724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01</w:t>
      </w:r>
      <w:r w:rsidR="001C76D5">
        <w:rPr>
          <w:rFonts w:ascii="Arial" w:hAnsi="Arial" w:cs="Arial"/>
          <w:b/>
          <w:sz w:val="24"/>
          <w:szCs w:val="24"/>
        </w:rPr>
        <w:t xml:space="preserve"> – Plano Previdenciário</w:t>
      </w:r>
      <w:r w:rsidRPr="001B3F7F">
        <w:rPr>
          <w:rFonts w:ascii="Arial" w:hAnsi="Arial" w:cs="Arial"/>
          <w:b/>
          <w:sz w:val="24"/>
          <w:szCs w:val="24"/>
        </w:rPr>
        <w:t>:</w:t>
      </w:r>
      <w:r w:rsidR="00000839">
        <w:rPr>
          <w:rFonts w:ascii="Arial" w:hAnsi="Arial" w:cs="Arial"/>
          <w:sz w:val="24"/>
          <w:szCs w:val="24"/>
        </w:rPr>
        <w:t xml:space="preserve">Relembramos que no exercício de 2018, bem como anteriores, </w:t>
      </w:r>
      <w:r w:rsidR="00887E1B">
        <w:rPr>
          <w:rFonts w:ascii="Arial" w:hAnsi="Arial" w:cs="Arial"/>
          <w:sz w:val="24"/>
          <w:szCs w:val="24"/>
        </w:rPr>
        <w:t xml:space="preserve">o </w:t>
      </w:r>
      <w:r w:rsidR="00887E1B" w:rsidRPr="00887E1B">
        <w:rPr>
          <w:rFonts w:ascii="Arial" w:hAnsi="Arial" w:cs="Arial"/>
          <w:i/>
          <w:sz w:val="24"/>
          <w:szCs w:val="24"/>
        </w:rPr>
        <w:t>déficit</w:t>
      </w:r>
      <w:r w:rsidR="00887E1B">
        <w:rPr>
          <w:rFonts w:ascii="Arial" w:hAnsi="Arial" w:cs="Arial"/>
          <w:sz w:val="24"/>
          <w:szCs w:val="24"/>
        </w:rPr>
        <w:t xml:space="preserve"> previdenciário era computado diretamente na Fonte 800</w:t>
      </w:r>
      <w:r w:rsidR="00000839">
        <w:rPr>
          <w:rFonts w:ascii="Arial" w:hAnsi="Arial" w:cs="Arial"/>
          <w:sz w:val="24"/>
          <w:szCs w:val="24"/>
        </w:rPr>
        <w:t xml:space="preserve">. </w:t>
      </w:r>
      <w:r w:rsidR="00887E1B">
        <w:rPr>
          <w:rFonts w:ascii="Arial" w:hAnsi="Arial" w:cs="Arial"/>
          <w:sz w:val="24"/>
          <w:szCs w:val="24"/>
        </w:rPr>
        <w:t xml:space="preserve">Contudo, atualmente tais </w:t>
      </w:r>
      <w:r w:rsidR="00C8579A">
        <w:rPr>
          <w:rFonts w:ascii="Arial" w:hAnsi="Arial" w:cs="Arial"/>
          <w:sz w:val="24"/>
          <w:szCs w:val="24"/>
        </w:rPr>
        <w:t>recursos</w:t>
      </w:r>
      <w:r w:rsidR="00887E1B">
        <w:rPr>
          <w:rFonts w:ascii="Arial" w:hAnsi="Arial" w:cs="Arial"/>
          <w:sz w:val="24"/>
          <w:szCs w:val="24"/>
        </w:rPr>
        <w:t xml:space="preserve"> são contabilizados </w:t>
      </w:r>
      <w:r w:rsidR="00C8579A">
        <w:rPr>
          <w:rFonts w:ascii="Arial" w:hAnsi="Arial" w:cs="Arial"/>
          <w:sz w:val="24"/>
          <w:szCs w:val="24"/>
        </w:rPr>
        <w:t>diretamente</w:t>
      </w:r>
      <w:r w:rsidR="005127C3">
        <w:rPr>
          <w:rFonts w:ascii="Arial" w:hAnsi="Arial" w:cs="Arial"/>
          <w:sz w:val="24"/>
          <w:szCs w:val="24"/>
        </w:rPr>
        <w:t xml:space="preserve"> na</w:t>
      </w:r>
      <w:r w:rsidR="00887E1B">
        <w:rPr>
          <w:rFonts w:ascii="Arial" w:hAnsi="Arial" w:cs="Arial"/>
          <w:sz w:val="24"/>
          <w:szCs w:val="24"/>
        </w:rPr>
        <w:t xml:space="preserve"> Fonte 100,</w:t>
      </w:r>
      <w:r w:rsidR="00000839">
        <w:rPr>
          <w:rFonts w:ascii="Arial" w:hAnsi="Arial" w:cs="Arial"/>
          <w:sz w:val="24"/>
          <w:szCs w:val="24"/>
        </w:rPr>
        <w:t xml:space="preserve"> em razão de alterações das diretrizes contábeis do Manual de Demonstrativos Fiscais (MDF) bem como orientação do Tribunal de Contas</w:t>
      </w:r>
      <w:r w:rsidR="005127C3">
        <w:rPr>
          <w:rFonts w:ascii="Arial" w:hAnsi="Arial" w:cs="Arial"/>
          <w:sz w:val="24"/>
          <w:szCs w:val="24"/>
        </w:rPr>
        <w:t xml:space="preserve"> do Estado.</w:t>
      </w: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2809" w:rsidRDefault="00392809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244B" w:rsidRPr="005127C3" w:rsidRDefault="0017244B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27C3">
        <w:rPr>
          <w:rFonts w:ascii="Arial" w:hAnsi="Arial" w:cs="Arial"/>
          <w:b/>
          <w:sz w:val="24"/>
          <w:szCs w:val="24"/>
          <w:u w:val="single"/>
        </w:rPr>
        <w:t xml:space="preserve">ANEXO 6 </w:t>
      </w:r>
      <w:r w:rsidR="00392809" w:rsidRPr="005127C3">
        <w:rPr>
          <w:rFonts w:ascii="Arial" w:hAnsi="Arial" w:cs="Arial"/>
          <w:b/>
          <w:sz w:val="24"/>
          <w:szCs w:val="24"/>
          <w:u w:val="single"/>
        </w:rPr>
        <w:t>– Resultados Primário e Nominal</w:t>
      </w:r>
    </w:p>
    <w:p w:rsidR="0017244B" w:rsidRPr="001B3F7F" w:rsidRDefault="0017244B" w:rsidP="0017244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244B" w:rsidRDefault="0017244B" w:rsidP="001724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lastRenderedPageBreak/>
        <w:t>Nota 01:</w:t>
      </w:r>
      <w:r w:rsidRPr="001B3F7F">
        <w:rPr>
          <w:rFonts w:ascii="Arial" w:hAnsi="Arial" w:cs="Arial"/>
          <w:sz w:val="24"/>
          <w:szCs w:val="24"/>
        </w:rPr>
        <w:t xml:space="preserve"> Todas as fórmulas de cálculo e </w:t>
      </w:r>
      <w:r w:rsidRPr="001B3F7F">
        <w:rPr>
          <w:rFonts w:ascii="Arial" w:hAnsi="Arial" w:cs="Arial"/>
          <w:i/>
          <w:sz w:val="24"/>
          <w:szCs w:val="24"/>
        </w:rPr>
        <w:t>layouts</w:t>
      </w:r>
      <w:r w:rsidRPr="001B3F7F">
        <w:rPr>
          <w:rFonts w:ascii="Arial" w:hAnsi="Arial" w:cs="Arial"/>
          <w:sz w:val="24"/>
          <w:szCs w:val="24"/>
        </w:rPr>
        <w:t xml:space="preserve"> de apresentação dos Demonstrativos no exercício de </w:t>
      </w:r>
      <w:r w:rsidR="00B82FF5">
        <w:rPr>
          <w:rFonts w:ascii="Arial" w:hAnsi="Arial" w:cs="Arial"/>
          <w:sz w:val="24"/>
          <w:szCs w:val="24"/>
        </w:rPr>
        <w:t>2020</w:t>
      </w:r>
      <w:r w:rsidRPr="001B3F7F">
        <w:rPr>
          <w:rFonts w:ascii="Arial" w:hAnsi="Arial" w:cs="Arial"/>
          <w:sz w:val="24"/>
          <w:szCs w:val="24"/>
        </w:rPr>
        <w:t xml:space="preserve"> devem seguir o que preceitua o Manual de Demonstrativos Fiscais – MDF </w:t>
      </w:r>
      <w:r w:rsidR="00B82FF5">
        <w:rPr>
          <w:rFonts w:ascii="Arial" w:hAnsi="Arial" w:cs="Arial"/>
          <w:sz w:val="24"/>
          <w:szCs w:val="24"/>
        </w:rPr>
        <w:t>10</w:t>
      </w:r>
      <w:r w:rsidRPr="001B3F7F">
        <w:rPr>
          <w:rFonts w:ascii="Arial" w:hAnsi="Arial" w:cs="Arial"/>
          <w:sz w:val="24"/>
          <w:szCs w:val="24"/>
        </w:rPr>
        <w:t xml:space="preserve">ª edição válida para o exercício de </w:t>
      </w:r>
      <w:r w:rsidR="00B82FF5">
        <w:rPr>
          <w:rFonts w:ascii="Arial" w:hAnsi="Arial" w:cs="Arial"/>
          <w:sz w:val="24"/>
          <w:szCs w:val="24"/>
        </w:rPr>
        <w:t>2020</w:t>
      </w:r>
      <w:r w:rsidRPr="001B3F7F">
        <w:rPr>
          <w:rFonts w:ascii="Arial" w:hAnsi="Arial" w:cs="Arial"/>
          <w:sz w:val="24"/>
          <w:szCs w:val="24"/>
        </w:rPr>
        <w:t>, do Ministério da Fazenda através da Secretaria do Tesouro Nacional – STN.</w:t>
      </w:r>
    </w:p>
    <w:p w:rsidR="0017244B" w:rsidRPr="001B3F7F" w:rsidRDefault="0017244B" w:rsidP="0017244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244B" w:rsidRPr="003066B1" w:rsidRDefault="0017244B" w:rsidP="0017244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 w:rsidR="004D03F0">
        <w:rPr>
          <w:rFonts w:ascii="Arial" w:hAnsi="Arial" w:cs="Arial"/>
          <w:b/>
          <w:sz w:val="24"/>
          <w:szCs w:val="24"/>
        </w:rPr>
        <w:t>2</w:t>
      </w:r>
      <w:r w:rsidRPr="001B3F7F">
        <w:rPr>
          <w:rFonts w:ascii="Arial" w:hAnsi="Arial" w:cs="Arial"/>
          <w:b/>
          <w:sz w:val="24"/>
          <w:szCs w:val="24"/>
        </w:rPr>
        <w:t>:</w:t>
      </w:r>
      <w:r w:rsidRPr="00584B73">
        <w:rPr>
          <w:rFonts w:ascii="Arial" w:hAnsi="Arial" w:cs="Arial"/>
          <w:sz w:val="24"/>
          <w:szCs w:val="24"/>
        </w:rPr>
        <w:t xml:space="preserve">O valor apresentado na Disponibilidade de Caixa Bruta, no montante de R$ </w:t>
      </w:r>
      <w:r w:rsidR="00E045EC">
        <w:rPr>
          <w:rFonts w:ascii="Arial" w:hAnsi="Arial" w:cs="Arial"/>
          <w:sz w:val="24"/>
          <w:szCs w:val="24"/>
        </w:rPr>
        <w:t>1.</w:t>
      </w:r>
      <w:r w:rsidR="002A0AE3">
        <w:rPr>
          <w:rFonts w:ascii="Arial" w:hAnsi="Arial" w:cs="Arial"/>
          <w:sz w:val="24"/>
          <w:szCs w:val="24"/>
        </w:rPr>
        <w:t>118.514.451,13</w:t>
      </w:r>
      <w:r w:rsidRPr="00584B73">
        <w:rPr>
          <w:rFonts w:ascii="Arial" w:hAnsi="Arial" w:cs="Arial"/>
          <w:sz w:val="24"/>
          <w:szCs w:val="24"/>
        </w:rPr>
        <w:t>(</w:t>
      </w:r>
      <w:r w:rsidR="005677DB">
        <w:rPr>
          <w:rFonts w:ascii="Arial" w:hAnsi="Arial" w:cs="Arial"/>
          <w:sz w:val="24"/>
          <w:szCs w:val="24"/>
        </w:rPr>
        <w:t>um bilhão</w:t>
      </w:r>
      <w:r w:rsidR="004410A5">
        <w:rPr>
          <w:rFonts w:ascii="Arial" w:hAnsi="Arial" w:cs="Arial"/>
          <w:sz w:val="24"/>
          <w:szCs w:val="24"/>
        </w:rPr>
        <w:t>,</w:t>
      </w:r>
      <w:r w:rsidR="002A0AE3">
        <w:rPr>
          <w:rFonts w:ascii="Arial" w:hAnsi="Arial" w:cs="Arial"/>
          <w:sz w:val="24"/>
          <w:szCs w:val="24"/>
        </w:rPr>
        <w:t>cento e dezoito milhões, quinhentos e quatorze mil, quatrocentos e cinquenta e um reais e treze centavos</w:t>
      </w:r>
      <w:r w:rsidRPr="00584B73">
        <w:rPr>
          <w:rFonts w:ascii="Arial" w:hAnsi="Arial" w:cs="Arial"/>
          <w:sz w:val="24"/>
          <w:szCs w:val="24"/>
        </w:rPr>
        <w:t xml:space="preserve">) </w:t>
      </w:r>
      <w:r w:rsidRPr="00584B73">
        <w:rPr>
          <w:rFonts w:ascii="Arial" w:hAnsi="Arial" w:cs="Arial"/>
          <w:b/>
          <w:sz w:val="24"/>
          <w:szCs w:val="24"/>
        </w:rPr>
        <w:t>não</w:t>
      </w:r>
      <w:r w:rsidRPr="00584B73">
        <w:rPr>
          <w:rFonts w:ascii="Arial" w:hAnsi="Arial" w:cs="Arial"/>
          <w:sz w:val="24"/>
          <w:szCs w:val="24"/>
        </w:rPr>
        <w:t xml:space="preserve"> diz respeito aos valores que o Estado </w:t>
      </w:r>
      <w:r w:rsidR="00DE6E21" w:rsidRPr="00584B73">
        <w:rPr>
          <w:rFonts w:ascii="Arial" w:hAnsi="Arial" w:cs="Arial"/>
          <w:sz w:val="24"/>
          <w:szCs w:val="24"/>
        </w:rPr>
        <w:t xml:space="preserve">(Executivo) </w:t>
      </w:r>
      <w:r w:rsidRPr="00584B73">
        <w:rPr>
          <w:rFonts w:ascii="Arial" w:hAnsi="Arial" w:cs="Arial"/>
          <w:sz w:val="24"/>
          <w:szCs w:val="24"/>
        </w:rPr>
        <w:t>efetivamente detém, tratando-se de mera contabilização de todos os recursos que foram incluídos no Sistema de Administração Orçamentária, Financeira e Contábil – SAFIRA</w:t>
      </w:r>
      <w:r w:rsidR="005127C3">
        <w:rPr>
          <w:rFonts w:ascii="Arial" w:hAnsi="Arial" w:cs="Arial"/>
          <w:sz w:val="24"/>
          <w:szCs w:val="24"/>
        </w:rPr>
        <w:t>,</w:t>
      </w:r>
      <w:r w:rsidRPr="00584B73">
        <w:rPr>
          <w:rFonts w:ascii="Arial" w:hAnsi="Arial" w:cs="Arial"/>
          <w:sz w:val="24"/>
          <w:szCs w:val="24"/>
        </w:rPr>
        <w:t xml:space="preserve"> de todos os entes da Administração Pública, tanto dos Três Poderes (Executivo, Legislativo e Judiciário), quanto dos demais entes dotados de autonomia, como Ministério Público, Defensoria Pública e Tribuna</w:t>
      </w:r>
      <w:r w:rsidR="00EF5EF1" w:rsidRPr="00584B73">
        <w:rPr>
          <w:rFonts w:ascii="Arial" w:hAnsi="Arial" w:cs="Arial"/>
          <w:sz w:val="24"/>
          <w:szCs w:val="24"/>
        </w:rPr>
        <w:t>l</w:t>
      </w:r>
      <w:r w:rsidRPr="00584B73">
        <w:rPr>
          <w:rFonts w:ascii="Arial" w:hAnsi="Arial" w:cs="Arial"/>
          <w:sz w:val="24"/>
          <w:szCs w:val="24"/>
        </w:rPr>
        <w:t xml:space="preserve"> de Contas. </w:t>
      </w:r>
      <w:r w:rsidR="005127C3">
        <w:rPr>
          <w:rFonts w:ascii="Arial" w:hAnsi="Arial" w:cs="Arial"/>
          <w:sz w:val="24"/>
          <w:szCs w:val="24"/>
        </w:rPr>
        <w:t>Conforme demonstrado abaixo</w:t>
      </w:r>
      <w:r w:rsidRPr="00584B73">
        <w:rPr>
          <w:rFonts w:ascii="Arial" w:hAnsi="Arial" w:cs="Arial"/>
          <w:sz w:val="24"/>
          <w:szCs w:val="24"/>
        </w:rPr>
        <w:t>:</w:t>
      </w:r>
    </w:p>
    <w:p w:rsidR="00DE1321" w:rsidRPr="003066B1" w:rsidRDefault="00DE1321" w:rsidP="00484399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0"/>
        <w:gridCol w:w="2979"/>
      </w:tblGrid>
      <w:tr w:rsidR="009329D9" w:rsidRPr="002F2EA1" w:rsidTr="00B05F83">
        <w:trPr>
          <w:jc w:val="center"/>
        </w:trPr>
        <w:tc>
          <w:tcPr>
            <w:tcW w:w="3830" w:type="dxa"/>
            <w:vAlign w:val="center"/>
          </w:tcPr>
          <w:p w:rsidR="009329D9" w:rsidRPr="002F2EA1" w:rsidRDefault="009329D9" w:rsidP="004843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2EA1">
              <w:rPr>
                <w:rFonts w:ascii="Arial" w:hAnsi="Arial" w:cs="Arial"/>
                <w:b/>
                <w:bCs/>
                <w:sz w:val="22"/>
                <w:szCs w:val="22"/>
              </w:rPr>
              <w:t>CAIXA BRUTO</w:t>
            </w:r>
          </w:p>
        </w:tc>
        <w:tc>
          <w:tcPr>
            <w:tcW w:w="2979" w:type="dxa"/>
            <w:vAlign w:val="center"/>
          </w:tcPr>
          <w:p w:rsidR="0076213E" w:rsidRPr="002F2EA1" w:rsidRDefault="002A0AE3" w:rsidP="007621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1.118.514.451,13</w:t>
            </w:r>
          </w:p>
          <w:p w:rsidR="009329D9" w:rsidRPr="002F2EA1" w:rsidRDefault="009329D9" w:rsidP="00B05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5873" w:rsidRPr="002F2EA1" w:rsidTr="00011B62">
        <w:trPr>
          <w:jc w:val="center"/>
        </w:trPr>
        <w:tc>
          <w:tcPr>
            <w:tcW w:w="3830" w:type="dxa"/>
            <w:vAlign w:val="center"/>
          </w:tcPr>
          <w:p w:rsidR="005E5873" w:rsidRPr="002F2EA1" w:rsidRDefault="005E5873" w:rsidP="004843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Repasse aos Poderes e entidades constitucionalmente autônomas</w:t>
            </w:r>
          </w:p>
        </w:tc>
        <w:tc>
          <w:tcPr>
            <w:tcW w:w="2979" w:type="dxa"/>
            <w:vAlign w:val="bottom"/>
          </w:tcPr>
          <w:p w:rsidR="005E5873" w:rsidRPr="002F2EA1" w:rsidRDefault="002F2EA1" w:rsidP="005E58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A0AE3">
              <w:rPr>
                <w:rFonts w:ascii="Arial" w:hAnsi="Arial" w:cs="Arial"/>
                <w:color w:val="000000"/>
                <w:sz w:val="22"/>
                <w:szCs w:val="22"/>
              </w:rPr>
              <w:t>112.213.530,57</w:t>
            </w:r>
          </w:p>
        </w:tc>
      </w:tr>
      <w:tr w:rsidR="005E5873" w:rsidRPr="002F2EA1" w:rsidTr="00011B62">
        <w:trPr>
          <w:jc w:val="center"/>
        </w:trPr>
        <w:tc>
          <w:tcPr>
            <w:tcW w:w="3830" w:type="dxa"/>
            <w:vAlign w:val="center"/>
          </w:tcPr>
          <w:p w:rsidR="005E5873" w:rsidRPr="002F2EA1" w:rsidRDefault="005E5873" w:rsidP="004843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Convênios</w:t>
            </w:r>
          </w:p>
        </w:tc>
        <w:tc>
          <w:tcPr>
            <w:tcW w:w="2979" w:type="dxa"/>
            <w:vAlign w:val="bottom"/>
          </w:tcPr>
          <w:p w:rsidR="005E5873" w:rsidRPr="002F2EA1" w:rsidRDefault="002F2EA1" w:rsidP="005E58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A0AE3">
              <w:rPr>
                <w:rFonts w:ascii="Arial" w:hAnsi="Arial" w:cs="Arial"/>
                <w:color w:val="000000"/>
                <w:sz w:val="22"/>
                <w:szCs w:val="22"/>
              </w:rPr>
              <w:t>199.013.488,34</w:t>
            </w:r>
          </w:p>
        </w:tc>
      </w:tr>
      <w:tr w:rsidR="005E5873" w:rsidRPr="002F2EA1" w:rsidTr="00011B62">
        <w:trPr>
          <w:jc w:val="center"/>
        </w:trPr>
        <w:tc>
          <w:tcPr>
            <w:tcW w:w="3830" w:type="dxa"/>
            <w:vAlign w:val="center"/>
          </w:tcPr>
          <w:p w:rsidR="005E5873" w:rsidRPr="002F2EA1" w:rsidRDefault="005E5873" w:rsidP="004843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FUNDEB</w:t>
            </w:r>
          </w:p>
        </w:tc>
        <w:tc>
          <w:tcPr>
            <w:tcW w:w="2979" w:type="dxa"/>
            <w:vAlign w:val="bottom"/>
          </w:tcPr>
          <w:p w:rsidR="005E5873" w:rsidRPr="002F2EA1" w:rsidRDefault="002F2EA1" w:rsidP="005E58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A0AE3">
              <w:rPr>
                <w:rFonts w:ascii="Arial" w:hAnsi="Arial" w:cs="Arial"/>
                <w:color w:val="000000"/>
                <w:sz w:val="22"/>
                <w:szCs w:val="22"/>
              </w:rPr>
              <w:t>27.459.074,49</w:t>
            </w:r>
          </w:p>
        </w:tc>
      </w:tr>
      <w:tr w:rsidR="005E5873" w:rsidRPr="002F2EA1" w:rsidTr="00011B62">
        <w:trPr>
          <w:jc w:val="center"/>
        </w:trPr>
        <w:tc>
          <w:tcPr>
            <w:tcW w:w="3830" w:type="dxa"/>
            <w:vAlign w:val="center"/>
          </w:tcPr>
          <w:p w:rsidR="005E5873" w:rsidRPr="002F2EA1" w:rsidRDefault="005E5873" w:rsidP="004843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SUS</w:t>
            </w:r>
          </w:p>
        </w:tc>
        <w:tc>
          <w:tcPr>
            <w:tcW w:w="2979" w:type="dxa"/>
            <w:vAlign w:val="bottom"/>
          </w:tcPr>
          <w:p w:rsidR="005E5873" w:rsidRPr="002F2EA1" w:rsidRDefault="002F2EA1" w:rsidP="005E58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165BE">
              <w:rPr>
                <w:rFonts w:ascii="Arial" w:hAnsi="Arial" w:cs="Arial"/>
                <w:color w:val="000000"/>
                <w:sz w:val="22"/>
                <w:szCs w:val="22"/>
              </w:rPr>
              <w:t>119.134.037,47</w:t>
            </w:r>
          </w:p>
        </w:tc>
      </w:tr>
      <w:tr w:rsidR="005E5873" w:rsidRPr="002F2EA1" w:rsidTr="00011B62">
        <w:trPr>
          <w:jc w:val="center"/>
        </w:trPr>
        <w:tc>
          <w:tcPr>
            <w:tcW w:w="3830" w:type="dxa"/>
            <w:vAlign w:val="center"/>
          </w:tcPr>
          <w:p w:rsidR="005E5873" w:rsidRPr="002F2EA1" w:rsidRDefault="005E5873" w:rsidP="004843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Operações de Crédito</w:t>
            </w:r>
          </w:p>
        </w:tc>
        <w:tc>
          <w:tcPr>
            <w:tcW w:w="2979" w:type="dxa"/>
            <w:vAlign w:val="bottom"/>
          </w:tcPr>
          <w:p w:rsidR="005E5873" w:rsidRPr="002F2EA1" w:rsidRDefault="002F2EA1" w:rsidP="005E58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165BE">
              <w:rPr>
                <w:rFonts w:ascii="Arial" w:hAnsi="Arial" w:cs="Arial"/>
                <w:color w:val="000000"/>
                <w:sz w:val="22"/>
                <w:szCs w:val="22"/>
              </w:rPr>
              <w:t>154.796.660,80</w:t>
            </w:r>
          </w:p>
        </w:tc>
      </w:tr>
      <w:tr w:rsidR="005E5873" w:rsidRPr="002F2EA1" w:rsidTr="00011B62">
        <w:trPr>
          <w:jc w:val="center"/>
        </w:trPr>
        <w:tc>
          <w:tcPr>
            <w:tcW w:w="3830" w:type="dxa"/>
            <w:vAlign w:val="center"/>
          </w:tcPr>
          <w:p w:rsidR="005E5873" w:rsidRPr="002F2EA1" w:rsidRDefault="005E5873" w:rsidP="004843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Recursos Próprios das Indiretas</w:t>
            </w:r>
          </w:p>
        </w:tc>
        <w:tc>
          <w:tcPr>
            <w:tcW w:w="2979" w:type="dxa"/>
            <w:vAlign w:val="bottom"/>
          </w:tcPr>
          <w:p w:rsidR="005E5873" w:rsidRPr="002F2EA1" w:rsidRDefault="002F2EA1" w:rsidP="005E58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165BE">
              <w:rPr>
                <w:rFonts w:ascii="Arial" w:hAnsi="Arial" w:cs="Arial"/>
                <w:color w:val="000000"/>
                <w:sz w:val="22"/>
                <w:szCs w:val="22"/>
              </w:rPr>
              <w:t>68.728.805,64</w:t>
            </w:r>
          </w:p>
        </w:tc>
      </w:tr>
      <w:tr w:rsidR="005E5873" w:rsidRPr="002F2EA1" w:rsidTr="00011B62">
        <w:trPr>
          <w:jc w:val="center"/>
        </w:trPr>
        <w:tc>
          <w:tcPr>
            <w:tcW w:w="3830" w:type="dxa"/>
            <w:vAlign w:val="center"/>
          </w:tcPr>
          <w:p w:rsidR="005E5873" w:rsidRPr="002F2EA1" w:rsidRDefault="005E5873" w:rsidP="004843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EA1">
              <w:rPr>
                <w:rFonts w:ascii="Arial" w:hAnsi="Arial" w:cs="Arial"/>
                <w:sz w:val="22"/>
                <w:szCs w:val="22"/>
              </w:rPr>
              <w:t>Recursos Previdenciários</w:t>
            </w:r>
          </w:p>
        </w:tc>
        <w:tc>
          <w:tcPr>
            <w:tcW w:w="2979" w:type="dxa"/>
            <w:vAlign w:val="bottom"/>
          </w:tcPr>
          <w:p w:rsidR="005E5873" w:rsidRPr="002F2EA1" w:rsidRDefault="002F2EA1" w:rsidP="005E58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165BE">
              <w:rPr>
                <w:rFonts w:ascii="Arial" w:hAnsi="Arial" w:cs="Arial"/>
                <w:color w:val="000000"/>
                <w:sz w:val="22"/>
                <w:szCs w:val="22"/>
              </w:rPr>
              <w:t>48.231.918,49</w:t>
            </w:r>
          </w:p>
        </w:tc>
      </w:tr>
      <w:tr w:rsidR="008165BE" w:rsidRPr="002F2EA1" w:rsidTr="00011B62">
        <w:trPr>
          <w:jc w:val="center"/>
        </w:trPr>
        <w:tc>
          <w:tcPr>
            <w:tcW w:w="3830" w:type="dxa"/>
            <w:vAlign w:val="center"/>
          </w:tcPr>
          <w:p w:rsidR="008165BE" w:rsidRPr="002F2EA1" w:rsidRDefault="008165BE" w:rsidP="004843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emergencial da Cultura</w:t>
            </w:r>
          </w:p>
        </w:tc>
        <w:tc>
          <w:tcPr>
            <w:tcW w:w="2979" w:type="dxa"/>
            <w:vAlign w:val="bottom"/>
          </w:tcPr>
          <w:p w:rsidR="008165BE" w:rsidRDefault="008165BE" w:rsidP="005E58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-5.494.647,93</w:t>
            </w:r>
          </w:p>
        </w:tc>
      </w:tr>
      <w:tr w:rsidR="009329D9" w:rsidRPr="002F2EA1" w:rsidTr="009E3BDC">
        <w:trPr>
          <w:jc w:val="center"/>
        </w:trPr>
        <w:tc>
          <w:tcPr>
            <w:tcW w:w="3830" w:type="dxa"/>
            <w:shd w:val="clear" w:color="auto" w:fill="000000"/>
            <w:vAlign w:val="center"/>
          </w:tcPr>
          <w:p w:rsidR="009329D9" w:rsidRPr="002F2EA1" w:rsidRDefault="009329D9" w:rsidP="004843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F2EA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RECURSOS PRÓPRIOS DO EXECUTIVO</w:t>
            </w:r>
          </w:p>
        </w:tc>
        <w:tc>
          <w:tcPr>
            <w:tcW w:w="2979" w:type="dxa"/>
            <w:shd w:val="clear" w:color="auto" w:fill="000000"/>
            <w:vAlign w:val="center"/>
          </w:tcPr>
          <w:p w:rsidR="009329D9" w:rsidRPr="002F2EA1" w:rsidRDefault="008165BE" w:rsidP="002F2EA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383.442.287,40</w:t>
            </w:r>
          </w:p>
        </w:tc>
      </w:tr>
    </w:tbl>
    <w:p w:rsidR="0017244B" w:rsidRPr="003066B1" w:rsidRDefault="0017244B" w:rsidP="0017244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D106A" w:rsidRDefault="00AD106A" w:rsidP="0017244B">
      <w:pPr>
        <w:spacing w:after="120" w:line="276" w:lineRule="auto"/>
        <w:jc w:val="both"/>
        <w:rPr>
          <w:rFonts w:ascii="Arial" w:hAnsi="Arial" w:cs="Arial"/>
          <w:sz w:val="24"/>
          <w:szCs w:val="22"/>
        </w:rPr>
      </w:pPr>
    </w:p>
    <w:p w:rsidR="0017244B" w:rsidRPr="003066B1" w:rsidRDefault="0017244B" w:rsidP="0017244B">
      <w:pPr>
        <w:spacing w:after="120" w:line="276" w:lineRule="auto"/>
        <w:jc w:val="both"/>
        <w:rPr>
          <w:rFonts w:ascii="Arial" w:hAnsi="Arial" w:cs="Arial"/>
          <w:color w:val="FF0000"/>
          <w:sz w:val="24"/>
          <w:szCs w:val="22"/>
        </w:rPr>
      </w:pPr>
      <w:r w:rsidRPr="009743F6">
        <w:rPr>
          <w:rFonts w:ascii="Arial" w:hAnsi="Arial" w:cs="Arial"/>
          <w:sz w:val="24"/>
          <w:szCs w:val="22"/>
        </w:rPr>
        <w:t xml:space="preserve">Desta forma, da quantia total de </w:t>
      </w:r>
      <w:r w:rsidR="005677DB" w:rsidRPr="00584B73">
        <w:rPr>
          <w:rFonts w:ascii="Arial" w:hAnsi="Arial" w:cs="Arial"/>
          <w:sz w:val="24"/>
          <w:szCs w:val="24"/>
        </w:rPr>
        <w:t xml:space="preserve">R$ </w:t>
      </w:r>
      <w:r w:rsidR="005E5873">
        <w:rPr>
          <w:rFonts w:ascii="Arial" w:hAnsi="Arial" w:cs="Arial"/>
          <w:sz w:val="24"/>
          <w:szCs w:val="24"/>
        </w:rPr>
        <w:t>1.</w:t>
      </w:r>
      <w:r w:rsidR="008165BE">
        <w:rPr>
          <w:rFonts w:ascii="Arial" w:hAnsi="Arial" w:cs="Arial"/>
          <w:sz w:val="24"/>
          <w:szCs w:val="24"/>
        </w:rPr>
        <w:t>118.514.451,13</w:t>
      </w:r>
      <w:r w:rsidR="005E5873" w:rsidRPr="00584B73">
        <w:rPr>
          <w:rFonts w:ascii="Arial" w:hAnsi="Arial" w:cs="Arial"/>
          <w:sz w:val="24"/>
          <w:szCs w:val="24"/>
        </w:rPr>
        <w:t>(</w:t>
      </w:r>
      <w:r w:rsidR="005E5873">
        <w:rPr>
          <w:rFonts w:ascii="Arial" w:hAnsi="Arial" w:cs="Arial"/>
          <w:sz w:val="24"/>
          <w:szCs w:val="24"/>
        </w:rPr>
        <w:t>um bilhão</w:t>
      </w:r>
      <w:r w:rsidR="00317F5D">
        <w:rPr>
          <w:rFonts w:ascii="Arial" w:hAnsi="Arial" w:cs="Arial"/>
          <w:sz w:val="24"/>
          <w:szCs w:val="24"/>
        </w:rPr>
        <w:t xml:space="preserve">, </w:t>
      </w:r>
      <w:r w:rsidR="008165BE">
        <w:rPr>
          <w:rFonts w:ascii="Arial" w:hAnsi="Arial" w:cs="Arial"/>
          <w:sz w:val="24"/>
          <w:szCs w:val="24"/>
        </w:rPr>
        <w:t>cento e dezoito milhões, quinhentos e quatorze mil, quatrocentos e cinquenta e um reais e treze centavos</w:t>
      </w:r>
      <w:r w:rsidR="005E5873" w:rsidRPr="00584B73">
        <w:rPr>
          <w:rFonts w:ascii="Arial" w:hAnsi="Arial" w:cs="Arial"/>
          <w:sz w:val="24"/>
          <w:szCs w:val="24"/>
        </w:rPr>
        <w:t>)</w:t>
      </w:r>
      <w:r w:rsidRPr="009743F6">
        <w:rPr>
          <w:rFonts w:ascii="Arial" w:hAnsi="Arial" w:cs="Arial"/>
          <w:sz w:val="24"/>
          <w:szCs w:val="22"/>
        </w:rPr>
        <w:t xml:space="preserve">,depois de feita a necessária destinação, resta </w:t>
      </w:r>
      <w:r w:rsidR="005E5873">
        <w:rPr>
          <w:rFonts w:ascii="Arial" w:hAnsi="Arial" w:cs="Arial"/>
          <w:sz w:val="24"/>
          <w:szCs w:val="22"/>
        </w:rPr>
        <w:t>de Recursos Disponíveis ao Poder Executivo a importâ</w:t>
      </w:r>
      <w:r w:rsidR="005E5873" w:rsidRPr="009743F6">
        <w:rPr>
          <w:rFonts w:ascii="Arial" w:hAnsi="Arial" w:cs="Arial"/>
          <w:sz w:val="24"/>
          <w:szCs w:val="22"/>
        </w:rPr>
        <w:t>ncia</w:t>
      </w:r>
      <w:r w:rsidRPr="009743F6">
        <w:rPr>
          <w:rFonts w:ascii="Arial" w:hAnsi="Arial" w:cs="Arial"/>
          <w:sz w:val="24"/>
          <w:szCs w:val="22"/>
        </w:rPr>
        <w:t xml:space="preserve"> de</w:t>
      </w:r>
      <w:r w:rsidRPr="005677DB">
        <w:rPr>
          <w:rFonts w:ascii="Arial" w:hAnsi="Arial" w:cs="Arial"/>
          <w:sz w:val="24"/>
          <w:szCs w:val="22"/>
        </w:rPr>
        <w:t xml:space="preserve">R$ </w:t>
      </w:r>
      <w:r w:rsidR="008165BE">
        <w:rPr>
          <w:rFonts w:ascii="Arial" w:hAnsi="Arial" w:cs="Arial"/>
          <w:sz w:val="24"/>
          <w:szCs w:val="22"/>
        </w:rPr>
        <w:t>383.442.287,40</w:t>
      </w:r>
      <w:r w:rsidRPr="005677DB">
        <w:rPr>
          <w:rFonts w:ascii="Arial" w:hAnsi="Arial" w:cs="Arial"/>
          <w:sz w:val="24"/>
          <w:szCs w:val="22"/>
        </w:rPr>
        <w:t>(</w:t>
      </w:r>
      <w:r w:rsidR="008165BE">
        <w:rPr>
          <w:rFonts w:ascii="Arial" w:hAnsi="Arial" w:cs="Arial"/>
          <w:sz w:val="24"/>
          <w:szCs w:val="22"/>
        </w:rPr>
        <w:t>trezentos e oitenta e três milhões, quatrocentos e quarenta e dois mil, duzentos e oitenta e sete reais e quarenta centavos</w:t>
      </w:r>
      <w:r w:rsidRPr="005677DB">
        <w:rPr>
          <w:rFonts w:ascii="Arial" w:hAnsi="Arial" w:cs="Arial"/>
          <w:sz w:val="24"/>
          <w:szCs w:val="22"/>
        </w:rPr>
        <w:t>)</w:t>
      </w:r>
      <w:r w:rsidRPr="009743F6">
        <w:rPr>
          <w:rFonts w:ascii="Arial" w:hAnsi="Arial" w:cs="Arial"/>
          <w:sz w:val="24"/>
          <w:szCs w:val="22"/>
        </w:rPr>
        <w:t>a título de recursos próprios.</w:t>
      </w:r>
    </w:p>
    <w:p w:rsidR="0017244B" w:rsidRDefault="0017244B" w:rsidP="0017244B">
      <w:pPr>
        <w:spacing w:after="120" w:line="276" w:lineRule="auto"/>
        <w:jc w:val="both"/>
        <w:rPr>
          <w:rFonts w:ascii="Arial" w:hAnsi="Arial" w:cs="Arial"/>
          <w:sz w:val="24"/>
          <w:szCs w:val="22"/>
        </w:rPr>
      </w:pPr>
      <w:r w:rsidRPr="0007558C">
        <w:rPr>
          <w:rFonts w:ascii="Arial" w:hAnsi="Arial" w:cs="Arial"/>
          <w:sz w:val="24"/>
          <w:szCs w:val="22"/>
        </w:rPr>
        <w:t xml:space="preserve">Todavia, ocorrem ainda novas obrigações de repasses que são </w:t>
      </w:r>
      <w:r>
        <w:rPr>
          <w:rFonts w:ascii="Arial" w:hAnsi="Arial" w:cs="Arial"/>
          <w:sz w:val="24"/>
          <w:szCs w:val="22"/>
        </w:rPr>
        <w:t>retiradas</w:t>
      </w:r>
      <w:r w:rsidRPr="0007558C">
        <w:rPr>
          <w:rFonts w:ascii="Arial" w:hAnsi="Arial" w:cs="Arial"/>
          <w:sz w:val="24"/>
          <w:szCs w:val="22"/>
        </w:rPr>
        <w:t xml:space="preserve"> dos recursos próprios</w:t>
      </w:r>
      <w:r w:rsidR="00505BED">
        <w:rPr>
          <w:rFonts w:ascii="Arial" w:hAnsi="Arial" w:cs="Arial"/>
          <w:sz w:val="24"/>
          <w:szCs w:val="22"/>
        </w:rPr>
        <w:t xml:space="preserve"> restantes</w:t>
      </w:r>
      <w:r w:rsidRPr="0007558C">
        <w:rPr>
          <w:rFonts w:ascii="Arial" w:hAnsi="Arial" w:cs="Arial"/>
          <w:sz w:val="24"/>
          <w:szCs w:val="22"/>
        </w:rPr>
        <w:t xml:space="preserve">, quais sejam: CIDE – Contribuição de Intervenção no Domínio Econômico; FEP – Fundo Especial do Petróleo, Cauções, Salário Educação, </w:t>
      </w:r>
      <w:r w:rsidR="00EF5EF1" w:rsidRPr="0007558C">
        <w:rPr>
          <w:rFonts w:ascii="Arial" w:hAnsi="Arial" w:cs="Arial"/>
          <w:sz w:val="24"/>
          <w:szCs w:val="22"/>
        </w:rPr>
        <w:lastRenderedPageBreak/>
        <w:t>Contrapartida</w:t>
      </w:r>
      <w:r w:rsidRPr="0007558C">
        <w:rPr>
          <w:rFonts w:ascii="Arial" w:hAnsi="Arial" w:cs="Arial"/>
          <w:sz w:val="24"/>
          <w:szCs w:val="22"/>
        </w:rPr>
        <w:t xml:space="preserve"> de Convênios e Rendimento de Operações de Créditos, </w:t>
      </w:r>
      <w:r>
        <w:rPr>
          <w:rFonts w:ascii="Arial" w:hAnsi="Arial" w:cs="Arial"/>
          <w:sz w:val="24"/>
          <w:szCs w:val="22"/>
        </w:rPr>
        <w:t>nos termos da</w:t>
      </w:r>
      <w:r w:rsidRPr="0007558C">
        <w:rPr>
          <w:rFonts w:ascii="Arial" w:hAnsi="Arial" w:cs="Arial"/>
          <w:sz w:val="24"/>
          <w:szCs w:val="22"/>
        </w:rPr>
        <w:t xml:space="preserve"> tabela a seguir:</w:t>
      </w:r>
    </w:p>
    <w:p w:rsidR="004D03F0" w:rsidRPr="0007558C" w:rsidRDefault="004D03F0" w:rsidP="0017244B">
      <w:pPr>
        <w:spacing w:after="120" w:line="276" w:lineRule="auto"/>
        <w:jc w:val="both"/>
        <w:rPr>
          <w:rFonts w:ascii="Arial" w:hAnsi="Arial" w:cs="Arial"/>
          <w:sz w:val="24"/>
          <w:szCs w:val="22"/>
        </w:rPr>
      </w:pP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2977"/>
      </w:tblGrid>
      <w:tr w:rsidR="0017244B" w:rsidRPr="00F24FB9" w:rsidTr="005D652F">
        <w:trPr>
          <w:jc w:val="center"/>
        </w:trPr>
        <w:tc>
          <w:tcPr>
            <w:tcW w:w="3827" w:type="dxa"/>
            <w:vAlign w:val="center"/>
          </w:tcPr>
          <w:p w:rsidR="0017244B" w:rsidRPr="00F24FB9" w:rsidRDefault="0017244B" w:rsidP="00F24F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FB9">
              <w:rPr>
                <w:rFonts w:ascii="Arial" w:hAnsi="Arial" w:cs="Arial"/>
                <w:b/>
                <w:bCs/>
                <w:sz w:val="24"/>
                <w:szCs w:val="24"/>
              </w:rPr>
              <w:t>RECURSOS PRÓPRIOS DO EXECUTIVO</w:t>
            </w:r>
          </w:p>
        </w:tc>
        <w:tc>
          <w:tcPr>
            <w:tcW w:w="2977" w:type="dxa"/>
            <w:vAlign w:val="center"/>
          </w:tcPr>
          <w:p w:rsidR="00D3725D" w:rsidRPr="00F24FB9" w:rsidRDefault="00EE2661" w:rsidP="00F24F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383.442.287,40</w:t>
            </w:r>
          </w:p>
          <w:p w:rsidR="0017244B" w:rsidRPr="00F24FB9" w:rsidRDefault="0017244B" w:rsidP="00F24FB9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725D" w:rsidRPr="00F24FB9" w:rsidTr="00D70A56">
        <w:trPr>
          <w:jc w:val="center"/>
        </w:trPr>
        <w:tc>
          <w:tcPr>
            <w:tcW w:w="3827" w:type="dxa"/>
            <w:vAlign w:val="center"/>
          </w:tcPr>
          <w:p w:rsidR="00D3725D" w:rsidRPr="00F24FB9" w:rsidRDefault="00D3725D" w:rsidP="00F24F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FB9">
              <w:rPr>
                <w:rFonts w:ascii="Arial" w:hAnsi="Arial" w:cs="Arial"/>
                <w:sz w:val="24"/>
                <w:szCs w:val="24"/>
              </w:rPr>
              <w:t>Saldo Liberado/Disponível aos órgãos</w:t>
            </w:r>
          </w:p>
        </w:tc>
        <w:tc>
          <w:tcPr>
            <w:tcW w:w="2977" w:type="dxa"/>
            <w:vAlign w:val="bottom"/>
          </w:tcPr>
          <w:p w:rsidR="00D3725D" w:rsidRPr="00F24FB9" w:rsidRDefault="00EE2661" w:rsidP="00EE2661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136.747.680,32</w:t>
            </w:r>
          </w:p>
        </w:tc>
      </w:tr>
      <w:tr w:rsidR="00D3725D" w:rsidRPr="00F24FB9" w:rsidTr="00D70A56">
        <w:trPr>
          <w:jc w:val="center"/>
        </w:trPr>
        <w:tc>
          <w:tcPr>
            <w:tcW w:w="3827" w:type="dxa"/>
            <w:vAlign w:val="center"/>
          </w:tcPr>
          <w:p w:rsidR="00D3725D" w:rsidRPr="00F24FB9" w:rsidRDefault="00D3725D" w:rsidP="00F24F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FB9">
              <w:rPr>
                <w:rFonts w:ascii="Arial" w:hAnsi="Arial" w:cs="Arial"/>
                <w:sz w:val="24"/>
                <w:szCs w:val="24"/>
              </w:rPr>
              <w:t>CIDE</w:t>
            </w:r>
          </w:p>
        </w:tc>
        <w:tc>
          <w:tcPr>
            <w:tcW w:w="2977" w:type="dxa"/>
            <w:vAlign w:val="bottom"/>
          </w:tcPr>
          <w:p w:rsidR="00D3725D" w:rsidRPr="00F24FB9" w:rsidRDefault="00EE2661" w:rsidP="00EE2661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2.835,13</w:t>
            </w:r>
          </w:p>
        </w:tc>
      </w:tr>
      <w:tr w:rsidR="00D3725D" w:rsidRPr="00F24FB9" w:rsidTr="00D70A56">
        <w:trPr>
          <w:jc w:val="center"/>
        </w:trPr>
        <w:tc>
          <w:tcPr>
            <w:tcW w:w="3827" w:type="dxa"/>
            <w:vAlign w:val="center"/>
          </w:tcPr>
          <w:p w:rsidR="00D3725D" w:rsidRPr="00F24FB9" w:rsidRDefault="00D3725D" w:rsidP="00F24F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FB9">
              <w:rPr>
                <w:rFonts w:ascii="Arial" w:hAnsi="Arial" w:cs="Arial"/>
                <w:sz w:val="24"/>
                <w:szCs w:val="24"/>
              </w:rPr>
              <w:t>Fundo Especial do Petróleo</w:t>
            </w:r>
          </w:p>
        </w:tc>
        <w:tc>
          <w:tcPr>
            <w:tcW w:w="2977" w:type="dxa"/>
            <w:vAlign w:val="bottom"/>
          </w:tcPr>
          <w:p w:rsidR="00D3725D" w:rsidRPr="00F24FB9" w:rsidRDefault="00EE2661" w:rsidP="00EE2661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62.235.521,19</w:t>
            </w:r>
          </w:p>
        </w:tc>
      </w:tr>
      <w:tr w:rsidR="00D3725D" w:rsidRPr="00F24FB9" w:rsidTr="00D70A56">
        <w:trPr>
          <w:jc w:val="center"/>
        </w:trPr>
        <w:tc>
          <w:tcPr>
            <w:tcW w:w="3827" w:type="dxa"/>
            <w:vAlign w:val="center"/>
          </w:tcPr>
          <w:p w:rsidR="00D3725D" w:rsidRPr="00F24FB9" w:rsidRDefault="00D3725D" w:rsidP="00F24F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FB9">
              <w:rPr>
                <w:rFonts w:ascii="Arial" w:hAnsi="Arial" w:cs="Arial"/>
                <w:sz w:val="24"/>
                <w:szCs w:val="24"/>
              </w:rPr>
              <w:t>Cauções</w:t>
            </w:r>
          </w:p>
        </w:tc>
        <w:tc>
          <w:tcPr>
            <w:tcW w:w="2977" w:type="dxa"/>
            <w:vAlign w:val="bottom"/>
          </w:tcPr>
          <w:p w:rsidR="00D3725D" w:rsidRPr="00F24FB9" w:rsidRDefault="00D3725D" w:rsidP="00EE2661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4FB9"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="00EE2661">
              <w:rPr>
                <w:rFonts w:ascii="Arial" w:hAnsi="Arial" w:cs="Arial"/>
                <w:bCs/>
                <w:sz w:val="24"/>
                <w:szCs w:val="24"/>
              </w:rPr>
              <w:t>099.578,31</w:t>
            </w:r>
          </w:p>
        </w:tc>
      </w:tr>
      <w:tr w:rsidR="0017244B" w:rsidRPr="00F24FB9" w:rsidTr="005D652F">
        <w:trPr>
          <w:jc w:val="center"/>
        </w:trPr>
        <w:tc>
          <w:tcPr>
            <w:tcW w:w="3827" w:type="dxa"/>
            <w:vAlign w:val="center"/>
          </w:tcPr>
          <w:p w:rsidR="0017244B" w:rsidRPr="00F24FB9" w:rsidRDefault="0017244B" w:rsidP="00F24F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FB9">
              <w:rPr>
                <w:rFonts w:ascii="Arial" w:hAnsi="Arial" w:cs="Arial"/>
                <w:sz w:val="24"/>
                <w:szCs w:val="24"/>
              </w:rPr>
              <w:t>Salário Educação</w:t>
            </w:r>
          </w:p>
        </w:tc>
        <w:tc>
          <w:tcPr>
            <w:tcW w:w="2977" w:type="dxa"/>
            <w:vAlign w:val="center"/>
          </w:tcPr>
          <w:p w:rsidR="0017244B" w:rsidRPr="00F24FB9" w:rsidRDefault="00EE2661" w:rsidP="00F24FB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1.392.712,13</w:t>
            </w:r>
          </w:p>
        </w:tc>
      </w:tr>
      <w:tr w:rsidR="0017244B" w:rsidRPr="00F24FB9" w:rsidTr="00D8031A">
        <w:trPr>
          <w:jc w:val="center"/>
        </w:trPr>
        <w:tc>
          <w:tcPr>
            <w:tcW w:w="3827" w:type="dxa"/>
            <w:shd w:val="clear" w:color="auto" w:fill="000000"/>
            <w:vAlign w:val="center"/>
          </w:tcPr>
          <w:p w:rsidR="0017244B" w:rsidRPr="00F24FB9" w:rsidRDefault="0017244B" w:rsidP="00F24F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FB9">
              <w:rPr>
                <w:rFonts w:ascii="Arial" w:hAnsi="Arial" w:cs="Arial"/>
                <w:b/>
                <w:bCs/>
                <w:sz w:val="24"/>
                <w:szCs w:val="24"/>
              </w:rPr>
              <w:t>DISPONIBILIDADE DE RECURSOS DO TESOURO</w:t>
            </w:r>
            <w:r w:rsidR="00EF5EF1" w:rsidRPr="00F24F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ESTADUAL</w:t>
            </w:r>
          </w:p>
        </w:tc>
        <w:tc>
          <w:tcPr>
            <w:tcW w:w="2977" w:type="dxa"/>
            <w:shd w:val="clear" w:color="auto" w:fill="000000"/>
            <w:vAlign w:val="center"/>
          </w:tcPr>
          <w:p w:rsidR="00D3725D" w:rsidRPr="00F24FB9" w:rsidRDefault="00EE2661" w:rsidP="00F24F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180.963.960,32</w:t>
            </w:r>
          </w:p>
          <w:p w:rsidR="0017244B" w:rsidRPr="00F24FB9" w:rsidRDefault="0017244B" w:rsidP="00F24FB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7244B" w:rsidRPr="00730961" w:rsidRDefault="0017244B" w:rsidP="0017244B">
      <w:pPr>
        <w:jc w:val="both"/>
        <w:rPr>
          <w:rFonts w:ascii="Arial" w:hAnsi="Arial" w:cs="Arial"/>
          <w:szCs w:val="24"/>
        </w:rPr>
      </w:pPr>
    </w:p>
    <w:p w:rsidR="00A0119B" w:rsidRDefault="00A0119B" w:rsidP="0017244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7244B" w:rsidRPr="001B3F7F" w:rsidRDefault="0017244B" w:rsidP="0017244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sz w:val="24"/>
          <w:szCs w:val="24"/>
        </w:rPr>
        <w:t xml:space="preserve">Neste caso, </w:t>
      </w:r>
      <w:r>
        <w:rPr>
          <w:rFonts w:ascii="Arial" w:hAnsi="Arial" w:cs="Arial"/>
          <w:sz w:val="24"/>
          <w:szCs w:val="24"/>
        </w:rPr>
        <w:t>observa-se</w:t>
      </w:r>
      <w:r w:rsidRPr="001B3F7F">
        <w:rPr>
          <w:rFonts w:ascii="Arial" w:hAnsi="Arial" w:cs="Arial"/>
          <w:sz w:val="24"/>
          <w:szCs w:val="24"/>
        </w:rPr>
        <w:t xml:space="preserve"> que o valor apresentado na Disponibilidade de Caixa Bruta inclui recursos de destinação obrigatória, ou seja, recursos sobre os quais o Estado não detém livre arbítrio.</w:t>
      </w:r>
    </w:p>
    <w:p w:rsidR="0017244B" w:rsidRPr="001B3F7F" w:rsidRDefault="0017244B" w:rsidP="0017244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sz w:val="24"/>
          <w:szCs w:val="24"/>
        </w:rPr>
        <w:t>Importante ressaltar que essa mesma Disponibilidade de Caixa é demonstrada de forma mais detalhada no Anexo 5 - Demonstrativo da Disponibilidade de Caixa e dos Restos a Pagar</w:t>
      </w:r>
      <w:r w:rsidR="00025562">
        <w:rPr>
          <w:rFonts w:ascii="Arial" w:hAnsi="Arial" w:cs="Arial"/>
          <w:sz w:val="24"/>
          <w:szCs w:val="24"/>
        </w:rPr>
        <w:t>, do Relatório de Gestão Fiscal – RGF.</w:t>
      </w:r>
    </w:p>
    <w:p w:rsidR="00B82FF5" w:rsidRDefault="0017244B" w:rsidP="0017244B">
      <w:pPr>
        <w:pStyle w:val="Corpodetexto"/>
        <w:spacing w:after="120" w:line="276" w:lineRule="auto"/>
        <w:rPr>
          <w:rFonts w:ascii="Arial" w:hAnsi="Arial" w:cs="Arial"/>
          <w:sz w:val="24"/>
          <w:szCs w:val="24"/>
        </w:rPr>
      </w:pPr>
      <w:r w:rsidRPr="0069775E">
        <w:rPr>
          <w:rFonts w:ascii="Arial" w:hAnsi="Arial" w:cs="Arial"/>
          <w:sz w:val="24"/>
          <w:szCs w:val="24"/>
        </w:rPr>
        <w:t xml:space="preserve">Por fim, destaca-se que o Estado possui diversos compromissos a serem quitados, tendo em vista o valor apresentado no item (XXVIII) - Dívida Consolidada, que atualmente se encontra em </w:t>
      </w:r>
      <w:r w:rsidR="00613741" w:rsidRPr="0069775E">
        <w:rPr>
          <w:rFonts w:ascii="Arial" w:hAnsi="Arial" w:cs="Arial"/>
          <w:sz w:val="24"/>
          <w:szCs w:val="24"/>
        </w:rPr>
        <w:t xml:space="preserve">R$ </w:t>
      </w:r>
      <w:r w:rsidR="00C07CD0" w:rsidRPr="0069775E">
        <w:rPr>
          <w:rFonts w:ascii="Arial" w:hAnsi="Arial" w:cs="Arial"/>
          <w:sz w:val="24"/>
          <w:szCs w:val="24"/>
        </w:rPr>
        <w:t>4.</w:t>
      </w:r>
      <w:r w:rsidR="00CA3197">
        <w:rPr>
          <w:rFonts w:ascii="Arial" w:hAnsi="Arial" w:cs="Arial"/>
          <w:sz w:val="24"/>
          <w:szCs w:val="24"/>
        </w:rPr>
        <w:t>361.230.262</w:t>
      </w:r>
      <w:r w:rsidR="00425E04">
        <w:rPr>
          <w:rFonts w:ascii="Arial" w:hAnsi="Arial" w:cs="Arial"/>
          <w:sz w:val="24"/>
          <w:szCs w:val="24"/>
        </w:rPr>
        <w:t>,88</w:t>
      </w:r>
      <w:r w:rsidRPr="0069775E">
        <w:rPr>
          <w:rFonts w:ascii="Arial" w:hAnsi="Arial" w:cs="Arial"/>
          <w:sz w:val="24"/>
          <w:szCs w:val="24"/>
        </w:rPr>
        <w:t xml:space="preserve"> (</w:t>
      </w:r>
      <w:r w:rsidR="00613741" w:rsidRPr="0069775E">
        <w:rPr>
          <w:rFonts w:ascii="Arial" w:hAnsi="Arial" w:cs="Arial"/>
          <w:sz w:val="24"/>
          <w:szCs w:val="24"/>
        </w:rPr>
        <w:t>quatro bilh</w:t>
      </w:r>
      <w:r w:rsidR="0069775E" w:rsidRPr="0069775E">
        <w:rPr>
          <w:rFonts w:ascii="Arial" w:hAnsi="Arial" w:cs="Arial"/>
          <w:sz w:val="24"/>
          <w:szCs w:val="24"/>
        </w:rPr>
        <w:t xml:space="preserve">ões, </w:t>
      </w:r>
      <w:r w:rsidR="00425E04">
        <w:rPr>
          <w:rFonts w:ascii="Arial" w:hAnsi="Arial" w:cs="Arial"/>
          <w:sz w:val="24"/>
          <w:szCs w:val="24"/>
        </w:rPr>
        <w:t>trezentos e sessenta e um milhões, duzentos e trinta mil, duzentos e sessenta e dois reais e oitenta e oito centavos</w:t>
      </w:r>
      <w:r w:rsidRPr="0069775E">
        <w:rPr>
          <w:rFonts w:ascii="Arial" w:hAnsi="Arial" w:cs="Arial"/>
          <w:sz w:val="24"/>
          <w:szCs w:val="24"/>
        </w:rPr>
        <w:t>)</w:t>
      </w:r>
      <w:r w:rsidR="00C07CD0" w:rsidRPr="0069775E">
        <w:rPr>
          <w:rFonts w:ascii="Arial" w:hAnsi="Arial" w:cs="Arial"/>
          <w:sz w:val="24"/>
          <w:szCs w:val="24"/>
        </w:rPr>
        <w:t xml:space="preserve"> e os Restos a Pagar Processados demonstrados no item XXX</w:t>
      </w:r>
      <w:r w:rsidR="0069775E" w:rsidRPr="0069775E">
        <w:rPr>
          <w:rFonts w:ascii="Arial" w:hAnsi="Arial" w:cs="Arial"/>
          <w:sz w:val="24"/>
          <w:szCs w:val="24"/>
        </w:rPr>
        <w:t>, no valor de R$ 96.167.887,27 (noventa e seis milhões, cento e sessenta e sete mil, oitocentos e oitenta e sete reais e vinte e sete centavos).</w:t>
      </w:r>
    </w:p>
    <w:p w:rsidR="00AC3973" w:rsidRPr="00AC3973" w:rsidRDefault="00AC3973" w:rsidP="0017244B">
      <w:pPr>
        <w:pStyle w:val="Corpodetexto"/>
        <w:spacing w:after="120" w:line="276" w:lineRule="auto"/>
        <w:rPr>
          <w:rFonts w:ascii="Arial" w:hAnsi="Arial" w:cs="Arial"/>
          <w:sz w:val="24"/>
          <w:szCs w:val="24"/>
        </w:rPr>
      </w:pPr>
    </w:p>
    <w:p w:rsidR="00A64DE8" w:rsidRPr="009B5DF6" w:rsidRDefault="002450F2" w:rsidP="00A64DE8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B5DF6">
        <w:rPr>
          <w:rFonts w:ascii="Arial" w:hAnsi="Arial" w:cs="Arial"/>
          <w:b/>
          <w:sz w:val="24"/>
          <w:szCs w:val="24"/>
          <w:u w:val="single"/>
        </w:rPr>
        <w:t>ANEXO</w:t>
      </w:r>
      <w:r w:rsidR="00A64DE8" w:rsidRPr="009B5DF6">
        <w:rPr>
          <w:rFonts w:ascii="Arial" w:hAnsi="Arial" w:cs="Arial"/>
          <w:b/>
          <w:sz w:val="24"/>
          <w:szCs w:val="24"/>
          <w:u w:val="single"/>
        </w:rPr>
        <w:t xml:space="preserve"> 8</w:t>
      </w:r>
      <w:r w:rsidR="009218C6" w:rsidRPr="009B5DF6">
        <w:rPr>
          <w:rFonts w:ascii="Arial" w:hAnsi="Arial" w:cs="Arial"/>
          <w:b/>
          <w:sz w:val="24"/>
          <w:szCs w:val="24"/>
          <w:u w:val="single"/>
        </w:rPr>
        <w:t xml:space="preserve"> – Demonstrativo das Receitas e Despesas com Manutenção e Desenvolvimento do Ensino - MDE</w:t>
      </w:r>
    </w:p>
    <w:p w:rsidR="00A64DE8" w:rsidRPr="00A72AEE" w:rsidRDefault="00A64DE8" w:rsidP="00A64D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3950" w:rsidRDefault="00F13950" w:rsidP="00F1395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>
        <w:rPr>
          <w:rFonts w:ascii="Arial" w:hAnsi="Arial" w:cs="Arial"/>
          <w:b/>
          <w:sz w:val="24"/>
          <w:szCs w:val="24"/>
        </w:rPr>
        <w:t>1</w:t>
      </w:r>
      <w:r w:rsidRPr="001B3F7F">
        <w:rPr>
          <w:rFonts w:ascii="Arial" w:hAnsi="Arial" w:cs="Arial"/>
          <w:b/>
          <w:sz w:val="24"/>
          <w:szCs w:val="24"/>
        </w:rPr>
        <w:t xml:space="preserve"> – Linha20.1</w:t>
      </w:r>
      <w:r w:rsidRPr="001B3F7F">
        <w:rPr>
          <w:rFonts w:ascii="Arial" w:hAnsi="Arial" w:cs="Arial"/>
          <w:sz w:val="24"/>
          <w:szCs w:val="24"/>
        </w:rPr>
        <w:t>: O termo “Profissionais do Magistério” diz respeito aos professores em efetivo exercício em sala de aula</w:t>
      </w:r>
      <w:r>
        <w:rPr>
          <w:rFonts w:ascii="Arial" w:hAnsi="Arial" w:cs="Arial"/>
          <w:sz w:val="24"/>
          <w:szCs w:val="24"/>
        </w:rPr>
        <w:t>, nos termos do art. 22 da Lei nº 11.494/2007</w:t>
      </w:r>
      <w:r w:rsidRPr="001B3F7F">
        <w:rPr>
          <w:rFonts w:ascii="Arial" w:hAnsi="Arial" w:cs="Arial"/>
          <w:sz w:val="24"/>
          <w:szCs w:val="24"/>
        </w:rPr>
        <w:t xml:space="preserve">. Ainda nesta </w:t>
      </w:r>
      <w:r w:rsidRPr="00D32D37">
        <w:rPr>
          <w:rFonts w:ascii="Arial" w:hAnsi="Arial" w:cs="Arial"/>
          <w:color w:val="000000"/>
          <w:sz w:val="24"/>
          <w:szCs w:val="24"/>
        </w:rPr>
        <w:t>senda, resta informar sobre o índice atualmente apresentado</w:t>
      </w:r>
      <w:r w:rsidR="002002A9" w:rsidRPr="00D526DD">
        <w:rPr>
          <w:rFonts w:ascii="Arial" w:hAnsi="Arial" w:cs="Arial"/>
          <w:color w:val="000000"/>
          <w:sz w:val="24"/>
          <w:szCs w:val="24"/>
        </w:rPr>
        <w:t>8</w:t>
      </w:r>
      <w:r w:rsidR="009B5DF6">
        <w:rPr>
          <w:rFonts w:ascii="Arial" w:hAnsi="Arial" w:cs="Arial"/>
          <w:color w:val="000000"/>
          <w:sz w:val="24"/>
          <w:szCs w:val="24"/>
        </w:rPr>
        <w:t>5</w:t>
      </w:r>
      <w:r w:rsidR="002002A9" w:rsidRPr="00D526DD">
        <w:rPr>
          <w:rFonts w:ascii="Arial" w:hAnsi="Arial" w:cs="Arial"/>
          <w:color w:val="000000"/>
          <w:sz w:val="24"/>
          <w:szCs w:val="24"/>
        </w:rPr>
        <w:t>,</w:t>
      </w:r>
      <w:r w:rsidR="009B5DF6">
        <w:rPr>
          <w:rFonts w:ascii="Arial" w:hAnsi="Arial" w:cs="Arial"/>
          <w:color w:val="000000"/>
          <w:sz w:val="24"/>
          <w:szCs w:val="24"/>
        </w:rPr>
        <w:t>77</w:t>
      </w:r>
      <w:r w:rsidRPr="00D526DD">
        <w:rPr>
          <w:rFonts w:ascii="Arial" w:hAnsi="Arial" w:cs="Arial"/>
          <w:color w:val="000000"/>
          <w:sz w:val="24"/>
          <w:szCs w:val="24"/>
        </w:rPr>
        <w:t>% (</w:t>
      </w:r>
      <w:r w:rsidR="009B5DF6">
        <w:rPr>
          <w:rFonts w:ascii="Arial" w:hAnsi="Arial" w:cs="Arial"/>
          <w:color w:val="000000"/>
          <w:sz w:val="24"/>
          <w:szCs w:val="24"/>
        </w:rPr>
        <w:t>oitenta e cinco vírgula setenta e sete por cento</w:t>
      </w:r>
      <w:r w:rsidRPr="00D526DD">
        <w:rPr>
          <w:rFonts w:ascii="Arial" w:hAnsi="Arial" w:cs="Arial"/>
          <w:color w:val="000000"/>
          <w:sz w:val="24"/>
          <w:szCs w:val="24"/>
        </w:rPr>
        <w:t>),</w:t>
      </w:r>
      <w:r w:rsidRPr="00D32D37">
        <w:rPr>
          <w:rFonts w:ascii="Arial" w:hAnsi="Arial" w:cs="Arial"/>
          <w:color w:val="000000"/>
          <w:sz w:val="24"/>
          <w:szCs w:val="24"/>
        </w:rPr>
        <w:t>que se encontra em patamar superior ao mínimo de 60% (sessenta por cento) exigido por Lei, o que demonstra o compromisso do Estado do Acre namanutenção da educação pública.</w:t>
      </w:r>
    </w:p>
    <w:p w:rsidR="00F13950" w:rsidRDefault="00F13950" w:rsidP="00F1395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66E44" w:rsidRDefault="00F13950" w:rsidP="00F139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53D9">
        <w:rPr>
          <w:rFonts w:ascii="Arial" w:hAnsi="Arial" w:cs="Arial"/>
          <w:b/>
          <w:sz w:val="24"/>
          <w:szCs w:val="24"/>
        </w:rPr>
        <w:t>Nota 02 – 20.2 e 20.3</w:t>
      </w:r>
      <w:r w:rsidRPr="003353D9">
        <w:rPr>
          <w:rFonts w:ascii="Arial" w:hAnsi="Arial" w:cs="Arial"/>
          <w:sz w:val="24"/>
          <w:szCs w:val="24"/>
        </w:rPr>
        <w:t>: Os índices apresentados</w:t>
      </w:r>
      <w:r w:rsidR="00F85B18" w:rsidRPr="003353D9">
        <w:rPr>
          <w:rFonts w:ascii="Arial" w:hAnsi="Arial" w:cs="Arial"/>
          <w:sz w:val="24"/>
          <w:szCs w:val="24"/>
        </w:rPr>
        <w:t xml:space="preserve"> referem-se ao Limite Máximo de 40% em despesas com MDE, excluídas as despesas do magistério e o Limite Máximo de 5% não aplicado no exercício, respectivamente, onde o Estado alcançou </w:t>
      </w:r>
      <w:r w:rsidR="00966E44" w:rsidRPr="003353D9">
        <w:rPr>
          <w:rFonts w:ascii="Arial" w:hAnsi="Arial" w:cs="Arial"/>
          <w:sz w:val="24"/>
          <w:szCs w:val="24"/>
        </w:rPr>
        <w:t>o percentual de 13,71% frente ao limite máximo de 40% e o percentual de 0,52% frente ao limite máximo de 5%.Demonstrando assim, que o Estado do Acre cumpriu em efetivamente tais limites constitucionais.</w:t>
      </w:r>
    </w:p>
    <w:p w:rsidR="00F13950" w:rsidRPr="00146589" w:rsidRDefault="00F13950" w:rsidP="00F1395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13950" w:rsidRPr="001B3F7F" w:rsidRDefault="00F13950" w:rsidP="00F139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>
        <w:rPr>
          <w:rFonts w:ascii="Arial" w:hAnsi="Arial" w:cs="Arial"/>
          <w:b/>
          <w:sz w:val="24"/>
          <w:szCs w:val="24"/>
        </w:rPr>
        <w:t>3</w:t>
      </w:r>
      <w:r w:rsidRPr="001B3F7F">
        <w:rPr>
          <w:rFonts w:ascii="Arial" w:hAnsi="Arial" w:cs="Arial"/>
          <w:b/>
          <w:sz w:val="24"/>
          <w:szCs w:val="24"/>
        </w:rPr>
        <w:t xml:space="preserve"> – Linha 30</w:t>
      </w:r>
      <w:r w:rsidRPr="001B3F7F">
        <w:rPr>
          <w:rFonts w:ascii="Arial" w:hAnsi="Arial" w:cs="Arial"/>
          <w:sz w:val="24"/>
          <w:szCs w:val="24"/>
        </w:rPr>
        <w:t xml:space="preserve">: O valor </w:t>
      </w:r>
      <w:r>
        <w:rPr>
          <w:rFonts w:ascii="Arial" w:hAnsi="Arial" w:cs="Arial"/>
          <w:sz w:val="24"/>
          <w:szCs w:val="24"/>
        </w:rPr>
        <w:t>informado</w:t>
      </w:r>
      <w:r w:rsidRPr="001B3F7F">
        <w:rPr>
          <w:rFonts w:ascii="Arial" w:hAnsi="Arial" w:cs="Arial"/>
          <w:sz w:val="24"/>
          <w:szCs w:val="24"/>
        </w:rPr>
        <w:t xml:space="preserve"> na linha 30, Resultado Líquido das Transferências do FUNDEB, refere-se à diferença entre o valor das transferências recebidas do FUNDEB (linha 12.1) deduzido do valor das Receitas Destinadas ao FUNDEB (linha 11). Assim, caso o valor destinado seja superior ao recebido, o saldo aparecerá negativo, como ocorreu neste relatório. </w:t>
      </w:r>
    </w:p>
    <w:p w:rsidR="00F13950" w:rsidRPr="001B3F7F" w:rsidRDefault="00F13950" w:rsidP="00F139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sz w:val="24"/>
          <w:szCs w:val="24"/>
        </w:rPr>
        <w:t xml:space="preserve">Importante ressaltar que o Manual de Demonstrativos Fiscais – MDF, </w:t>
      </w:r>
      <w:r w:rsidR="005B1B04">
        <w:rPr>
          <w:rFonts w:ascii="Arial" w:hAnsi="Arial" w:cs="Arial"/>
          <w:sz w:val="24"/>
          <w:szCs w:val="24"/>
        </w:rPr>
        <w:t>10</w:t>
      </w:r>
      <w:r w:rsidRPr="001B3F7F">
        <w:rPr>
          <w:rFonts w:ascii="Arial" w:hAnsi="Arial" w:cs="Arial"/>
          <w:sz w:val="24"/>
          <w:szCs w:val="24"/>
        </w:rPr>
        <w:t xml:space="preserve">ª edição, válido para o exercício de </w:t>
      </w:r>
      <w:r w:rsidR="005B1B04">
        <w:rPr>
          <w:rFonts w:ascii="Arial" w:hAnsi="Arial" w:cs="Arial"/>
          <w:sz w:val="24"/>
          <w:szCs w:val="24"/>
        </w:rPr>
        <w:t>2020</w:t>
      </w:r>
      <w:r w:rsidRPr="001B3F7F">
        <w:rPr>
          <w:rFonts w:ascii="Arial" w:hAnsi="Arial" w:cs="Arial"/>
          <w:sz w:val="24"/>
          <w:szCs w:val="24"/>
        </w:rPr>
        <w:t>, do Ministério da Fazenda através da Secretaria do Tesouro Nacional – STN, estabelece que:</w:t>
      </w:r>
    </w:p>
    <w:p w:rsidR="00F13950" w:rsidRPr="001B3F7F" w:rsidRDefault="00F13950" w:rsidP="00C2281A">
      <w:pPr>
        <w:jc w:val="both"/>
        <w:rPr>
          <w:rFonts w:ascii="Arial" w:hAnsi="Arial" w:cs="Arial"/>
          <w:sz w:val="24"/>
          <w:szCs w:val="24"/>
        </w:rPr>
      </w:pPr>
    </w:p>
    <w:p w:rsidR="00F13950" w:rsidRPr="001B3F7F" w:rsidRDefault="00F13950" w:rsidP="00F13950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i/>
          <w:sz w:val="24"/>
          <w:szCs w:val="24"/>
        </w:rPr>
        <w:t xml:space="preserve">“(...)o ente que receber do FUNDEB um total de recursos menor que o total enviado, poderá considerar a aplicação desse decréscimo para cumprimento do mínimo constitucional.” </w:t>
      </w:r>
      <w:r w:rsidRPr="001B3F7F">
        <w:rPr>
          <w:rFonts w:ascii="Arial" w:hAnsi="Arial" w:cs="Arial"/>
          <w:sz w:val="24"/>
          <w:szCs w:val="24"/>
        </w:rPr>
        <w:t xml:space="preserve">(p. </w:t>
      </w:r>
      <w:r w:rsidR="005B1B04">
        <w:rPr>
          <w:rFonts w:ascii="Arial" w:hAnsi="Arial" w:cs="Arial"/>
          <w:sz w:val="24"/>
          <w:szCs w:val="24"/>
        </w:rPr>
        <w:t>370</w:t>
      </w:r>
      <w:r w:rsidRPr="001B3F7F">
        <w:rPr>
          <w:rFonts w:ascii="Arial" w:hAnsi="Arial" w:cs="Arial"/>
          <w:sz w:val="24"/>
          <w:szCs w:val="24"/>
        </w:rPr>
        <w:t>).</w:t>
      </w:r>
    </w:p>
    <w:p w:rsidR="00F13950" w:rsidRDefault="00F13950" w:rsidP="00A64DE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64DE8" w:rsidRDefault="00A64DE8" w:rsidP="00A64D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</w:t>
      </w:r>
      <w:r w:rsidR="00F13950">
        <w:rPr>
          <w:rFonts w:ascii="Arial" w:hAnsi="Arial" w:cs="Arial"/>
          <w:b/>
          <w:sz w:val="24"/>
          <w:szCs w:val="24"/>
        </w:rPr>
        <w:t>4</w:t>
      </w:r>
      <w:r w:rsidRPr="001B3F7F">
        <w:rPr>
          <w:rFonts w:ascii="Arial" w:hAnsi="Arial" w:cs="Arial"/>
          <w:b/>
          <w:sz w:val="24"/>
          <w:szCs w:val="24"/>
        </w:rPr>
        <w:t xml:space="preserve"> – Linha 38</w:t>
      </w:r>
      <w:r w:rsidRPr="001B3F7F">
        <w:rPr>
          <w:rFonts w:ascii="Arial" w:hAnsi="Arial" w:cs="Arial"/>
          <w:sz w:val="24"/>
          <w:szCs w:val="24"/>
        </w:rPr>
        <w:t>: O percentual mínimo de aplicação dos recursos líquidos de impostos em educação (art. 212, CF) é acompanhado até o 5º bimestre através dos valores de despesas liquidadas. Somente a partir do 6º bimestre é que o parâmetro para aferição do cumprimento do limite constitucional de 25% (vinte e cinco por cento) passa a ser os valores de despesas empenhadas.</w:t>
      </w:r>
    </w:p>
    <w:p w:rsidR="00FD18D0" w:rsidRDefault="00FD18D0" w:rsidP="00FD18D0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Pr="00425A0D">
        <w:rPr>
          <w:rFonts w:ascii="Arial" w:hAnsi="Arial" w:cs="Arial"/>
          <w:sz w:val="24"/>
          <w:szCs w:val="24"/>
        </w:rPr>
        <w:t xml:space="preserve">Nota Técnica, </w:t>
      </w:r>
      <w:hyperlink r:id="rId8" w:history="1">
        <w:r w:rsidRPr="00425A0D">
          <w:rPr>
            <w:rFonts w:ascii="Arial" w:hAnsi="Arial" w:cs="Arial"/>
            <w:sz w:val="24"/>
            <w:szCs w:val="24"/>
          </w:rPr>
          <w:t xml:space="preserve"> SEI nº 21231/2020/ME</w:t>
        </w:r>
      </w:hyperlink>
      <w:r w:rsidRPr="00425A0D">
        <w:rPr>
          <w:rFonts w:ascii="Arial" w:hAnsi="Arial" w:cs="Arial"/>
          <w:sz w:val="24"/>
          <w:szCs w:val="24"/>
        </w:rPr>
        <w:t xml:space="preserve"> expedido</w:t>
      </w:r>
      <w:r>
        <w:rPr>
          <w:rFonts w:ascii="Arial" w:hAnsi="Arial" w:cs="Arial"/>
          <w:sz w:val="24"/>
          <w:szCs w:val="24"/>
        </w:rPr>
        <w:t xml:space="preserve"> pela Secretaria do Tesouro Nacional - STN</w:t>
      </w:r>
      <w:r w:rsidRPr="002F7826">
        <w:rPr>
          <w:rFonts w:ascii="Arial" w:hAnsi="Arial" w:cs="Arial"/>
          <w:sz w:val="24"/>
          <w:szCs w:val="24"/>
        </w:rPr>
        <w:t>, cujo objetivo é orientar os entes da Federação quanto à contabilização e ao tratamento fiscal dos recursos recebidos e aplicados no enfrentamento da emergência de saúde pública de importância internacional decorrente do coronavírus (COVID-19), como os decorrentes da Lei Complementar nº 173/2020</w:t>
      </w:r>
      <w:r>
        <w:rPr>
          <w:rFonts w:ascii="Arial" w:hAnsi="Arial" w:cs="Arial"/>
          <w:sz w:val="24"/>
          <w:szCs w:val="24"/>
        </w:rPr>
        <w:t>, versa no parágrafo 25:</w:t>
      </w:r>
    </w:p>
    <w:p w:rsidR="00FD18D0" w:rsidRDefault="00FD18D0" w:rsidP="00FD18D0">
      <w:pPr>
        <w:pStyle w:val="Corpodetexto"/>
        <w:spacing w:line="276" w:lineRule="auto"/>
        <w:ind w:firstLine="3119"/>
        <w:rPr>
          <w:rFonts w:ascii="Arial" w:hAnsi="Arial" w:cs="Arial"/>
          <w:sz w:val="24"/>
          <w:szCs w:val="24"/>
        </w:rPr>
      </w:pPr>
    </w:p>
    <w:p w:rsidR="00FD18D0" w:rsidRPr="00FD18D0" w:rsidRDefault="00FD18D0" w:rsidP="00FD18D0">
      <w:pPr>
        <w:pStyle w:val="Corpodetexto"/>
        <w:spacing w:line="276" w:lineRule="auto"/>
        <w:ind w:left="3119"/>
        <w:rPr>
          <w:rFonts w:ascii="Arial" w:hAnsi="Arial" w:cs="Arial"/>
          <w:i/>
          <w:sz w:val="24"/>
          <w:szCs w:val="24"/>
        </w:rPr>
      </w:pPr>
      <w:r w:rsidRPr="00FD18D0">
        <w:rPr>
          <w:rFonts w:ascii="Arial" w:hAnsi="Arial" w:cs="Arial"/>
          <w:i/>
          <w:sz w:val="24"/>
          <w:szCs w:val="24"/>
        </w:rPr>
        <w:t>“</w:t>
      </w:r>
      <w:r w:rsidRPr="00FD18D0">
        <w:rPr>
          <w:i/>
          <w:sz w:val="24"/>
          <w:szCs w:val="24"/>
        </w:rPr>
        <w:t>Esclarecemos que esse apoio financeiro não possui natureza tributária e, portanto, não integra as bases de cálculo para incidência de retenções destinadas ao FUNDEB e para fins de aplicação mínima em Manutenção e Desenvolvimento do Ensino (MDE) e em Ações e Serviços Públicos em Saúde (ASPS).”</w:t>
      </w:r>
    </w:p>
    <w:p w:rsidR="00FD18D0" w:rsidRDefault="00FD18D0" w:rsidP="00FD18D0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FD18D0" w:rsidRDefault="00FD18D0" w:rsidP="0085084C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tanto estão deduzidos deste Demonstrativo todas as despesas utilizadas nos programas de trabalho orçadas para o combate de enfrentamento ao COVID-19</w:t>
      </w:r>
      <w:r w:rsidR="00DC556D">
        <w:rPr>
          <w:rFonts w:ascii="Arial" w:hAnsi="Arial" w:cs="Arial"/>
          <w:sz w:val="24"/>
          <w:szCs w:val="24"/>
        </w:rPr>
        <w:t>, no montante de R$ 3.997.355,50 (por extenso).</w:t>
      </w:r>
    </w:p>
    <w:p w:rsidR="00DC556D" w:rsidRDefault="00DC556D" w:rsidP="0085084C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DC556D" w:rsidRPr="001B3F7F" w:rsidRDefault="00DC556D" w:rsidP="0085084C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A64DE8" w:rsidRPr="001B3F7F" w:rsidRDefault="00A64DE8" w:rsidP="00A64D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64DE8" w:rsidRDefault="00A64DE8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t>Nota 05</w:t>
      </w:r>
      <w:r w:rsidRPr="001B3F7F">
        <w:rPr>
          <w:rFonts w:ascii="Arial" w:hAnsi="Arial" w:cs="Arial"/>
          <w:sz w:val="24"/>
          <w:szCs w:val="24"/>
        </w:rPr>
        <w:t>: As despesas com professores inativos e pensionistas, apesar de estarem orçamentariamente incluídas na função Educação, não são computadas para a base de cálculo de aferição da Manutenção e Desenvolvimento de Ensino – MDE.</w:t>
      </w:r>
    </w:p>
    <w:p w:rsidR="00DC556D" w:rsidRDefault="00DC556D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DC556D" w:rsidRDefault="00DC556D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06: </w:t>
      </w:r>
      <w:r w:rsidR="00C56135">
        <w:rPr>
          <w:rFonts w:ascii="Arial" w:hAnsi="Arial" w:cs="Arial"/>
          <w:sz w:val="24"/>
          <w:szCs w:val="24"/>
        </w:rPr>
        <w:t>Foram deduzidas o</w:t>
      </w:r>
      <w:r>
        <w:rPr>
          <w:rFonts w:ascii="Arial" w:hAnsi="Arial" w:cs="Arial"/>
          <w:sz w:val="24"/>
          <w:szCs w:val="24"/>
        </w:rPr>
        <w:t xml:space="preserve">utras despesas </w:t>
      </w:r>
      <w:r w:rsidR="00C56135">
        <w:rPr>
          <w:rFonts w:ascii="Arial" w:hAnsi="Arial" w:cs="Arial"/>
          <w:sz w:val="24"/>
          <w:szCs w:val="24"/>
        </w:rPr>
        <w:t>executadas</w:t>
      </w:r>
      <w:r>
        <w:rPr>
          <w:rFonts w:ascii="Arial" w:hAnsi="Arial" w:cs="Arial"/>
          <w:sz w:val="24"/>
          <w:szCs w:val="24"/>
        </w:rPr>
        <w:t xml:space="preserve"> orçamentariamente na Função 12 – Educação, que segundo a Lei de Diretrizes Básicas da Educação – LDB, em seus Artigos 70 e 71 não podem servir de base de cálculo pra o cômputo do limite mínimo de aplicação em MDE, conforme é possível observar na Linha 40</w:t>
      </w:r>
      <w:r w:rsidR="00B616D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valor de R$ 9.904.316,99 (</w:t>
      </w:r>
      <w:r w:rsidR="00CD3BFD">
        <w:rPr>
          <w:rFonts w:ascii="Arial" w:hAnsi="Arial" w:cs="Arial"/>
          <w:sz w:val="24"/>
          <w:szCs w:val="24"/>
        </w:rPr>
        <w:t>nove milhões, novecentos e quatr</w:t>
      </w:r>
      <w:r w:rsidR="0063198C">
        <w:rPr>
          <w:rFonts w:ascii="Arial" w:hAnsi="Arial" w:cs="Arial"/>
          <w:sz w:val="24"/>
          <w:szCs w:val="24"/>
        </w:rPr>
        <w:t>o mil, trezentos e dezesseis reais e noventa e nove centavos</w:t>
      </w:r>
      <w:r>
        <w:rPr>
          <w:rFonts w:ascii="Arial" w:hAnsi="Arial" w:cs="Arial"/>
          <w:sz w:val="24"/>
          <w:szCs w:val="24"/>
        </w:rPr>
        <w:t>)</w:t>
      </w:r>
      <w:r w:rsidR="0063198C">
        <w:rPr>
          <w:rFonts w:ascii="Arial" w:hAnsi="Arial" w:cs="Arial"/>
          <w:sz w:val="24"/>
          <w:szCs w:val="24"/>
        </w:rPr>
        <w:t xml:space="preserve"> foram excluídas dessa base de cálculo</w:t>
      </w:r>
      <w:r>
        <w:rPr>
          <w:rFonts w:ascii="Arial" w:hAnsi="Arial" w:cs="Arial"/>
          <w:sz w:val="24"/>
          <w:szCs w:val="24"/>
        </w:rPr>
        <w:t>.</w:t>
      </w:r>
      <w:r w:rsidR="0063198C">
        <w:rPr>
          <w:rFonts w:ascii="Arial" w:hAnsi="Arial" w:cs="Arial"/>
          <w:sz w:val="24"/>
          <w:szCs w:val="24"/>
        </w:rPr>
        <w:t xml:space="preserve"> Além disso, também foram excluídas </w:t>
      </w:r>
      <w:r>
        <w:rPr>
          <w:rFonts w:ascii="Arial" w:hAnsi="Arial" w:cs="Arial"/>
          <w:sz w:val="24"/>
          <w:szCs w:val="24"/>
        </w:rPr>
        <w:t>outras despesas executadas na mesma função que também não contam para a base de cálculo no valor de R$ 14.626.595,12</w:t>
      </w:r>
      <w:r w:rsidR="0063198C">
        <w:rPr>
          <w:rFonts w:ascii="Arial" w:hAnsi="Arial" w:cs="Arial"/>
          <w:sz w:val="24"/>
          <w:szCs w:val="24"/>
        </w:rPr>
        <w:t xml:space="preserve"> (quatorze milhões, seiscentos e vinte e seis mil, quinhentos e noventa e cinco reais e doze centavos)</w:t>
      </w:r>
      <w:r w:rsidR="00704581">
        <w:rPr>
          <w:rFonts w:ascii="Arial" w:hAnsi="Arial" w:cs="Arial"/>
          <w:sz w:val="24"/>
          <w:szCs w:val="24"/>
        </w:rPr>
        <w:t>, conforme</w:t>
      </w:r>
      <w:r w:rsidR="0063198C">
        <w:rPr>
          <w:rFonts w:ascii="Arial" w:hAnsi="Arial" w:cs="Arial"/>
          <w:sz w:val="24"/>
          <w:szCs w:val="24"/>
        </w:rPr>
        <w:t xml:space="preserve"> valores </w:t>
      </w:r>
      <w:r w:rsidR="00704581">
        <w:rPr>
          <w:rFonts w:ascii="Arial" w:hAnsi="Arial" w:cs="Arial"/>
          <w:sz w:val="24"/>
          <w:szCs w:val="24"/>
        </w:rPr>
        <w:t>informado</w:t>
      </w:r>
      <w:r w:rsidR="0063198C">
        <w:rPr>
          <w:rFonts w:ascii="Arial" w:hAnsi="Arial" w:cs="Arial"/>
          <w:sz w:val="24"/>
          <w:szCs w:val="24"/>
        </w:rPr>
        <w:t>s</w:t>
      </w:r>
      <w:r w:rsidR="00704581">
        <w:rPr>
          <w:rFonts w:ascii="Arial" w:hAnsi="Arial" w:cs="Arial"/>
          <w:sz w:val="24"/>
          <w:szCs w:val="24"/>
        </w:rPr>
        <w:t xml:space="preserve"> através do Ofício nº 599/2020/SEE, de 3 de dezembro de 2020.</w:t>
      </w:r>
      <w:r w:rsidR="0063198C">
        <w:rPr>
          <w:rFonts w:ascii="Arial" w:hAnsi="Arial" w:cs="Arial"/>
          <w:sz w:val="24"/>
          <w:szCs w:val="24"/>
        </w:rPr>
        <w:t xml:space="preserve"> Portanto, feitas as devidas exclusões das despesas que não se enquadram nos critérios estabelecidos pela LDB, o Estado do Acre alcançou o percentual de </w:t>
      </w:r>
      <w:r w:rsidR="0063198C" w:rsidRPr="00C56135">
        <w:rPr>
          <w:rFonts w:ascii="Arial" w:hAnsi="Arial" w:cs="Arial"/>
          <w:b/>
          <w:sz w:val="24"/>
          <w:szCs w:val="24"/>
        </w:rPr>
        <w:t>25,29%</w:t>
      </w:r>
      <w:r w:rsidR="0063198C">
        <w:rPr>
          <w:rFonts w:ascii="Arial" w:hAnsi="Arial" w:cs="Arial"/>
          <w:sz w:val="24"/>
          <w:szCs w:val="24"/>
        </w:rPr>
        <w:t xml:space="preserve"> (vinte e cinco vírgula vinte e nove por cento) de aplicação de recursos em Manutenção e Desenvolvimento do Ensino – MDE, cumprindo </w:t>
      </w:r>
      <w:r w:rsidR="009B587B">
        <w:rPr>
          <w:rFonts w:ascii="Arial" w:hAnsi="Arial" w:cs="Arial"/>
          <w:sz w:val="24"/>
          <w:szCs w:val="24"/>
        </w:rPr>
        <w:t xml:space="preserve">assim, </w:t>
      </w:r>
      <w:r w:rsidR="0063198C">
        <w:rPr>
          <w:rFonts w:ascii="Arial" w:hAnsi="Arial" w:cs="Arial"/>
          <w:sz w:val="24"/>
          <w:szCs w:val="24"/>
        </w:rPr>
        <w:t>o mínimo constitucional de 25% (vinte e cinco por cento).</w:t>
      </w:r>
    </w:p>
    <w:p w:rsidR="00025562" w:rsidRDefault="00025562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AC3973" w:rsidRPr="00DC556D" w:rsidRDefault="00AC3973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025562" w:rsidRPr="00C56135" w:rsidRDefault="00025562" w:rsidP="00025562">
      <w:pPr>
        <w:pStyle w:val="Corpodetexto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56135">
        <w:rPr>
          <w:rFonts w:ascii="Arial" w:hAnsi="Arial" w:cs="Arial"/>
          <w:b/>
          <w:sz w:val="24"/>
          <w:szCs w:val="24"/>
          <w:u w:val="single"/>
        </w:rPr>
        <w:t>ANEXO 10 – Demonstrativo da Projeção Atuarial do Regime de Previdência</w:t>
      </w:r>
    </w:p>
    <w:p w:rsidR="00025562" w:rsidRDefault="00025562" w:rsidP="00025562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025562" w:rsidRDefault="00025562" w:rsidP="00025562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demonstrativo apresenta a projeção atuarial do Regime Próprio de Previdência do Estado do Acre e contém as informações sobre a projeção, ao longo de 75 (setenta e cinco) anos, das receitas e despesas previdenciárias, do resultado previdenciário e do saldo financeiro de cada exercício.</w:t>
      </w:r>
    </w:p>
    <w:p w:rsidR="00025562" w:rsidRDefault="00025562" w:rsidP="00025562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valores apresentados</w:t>
      </w:r>
      <w:r w:rsidR="00460F86">
        <w:rPr>
          <w:rFonts w:ascii="Arial" w:hAnsi="Arial" w:cs="Arial"/>
          <w:sz w:val="24"/>
          <w:szCs w:val="24"/>
        </w:rPr>
        <w:t xml:space="preserve"> no demonstrativo</w:t>
      </w:r>
      <w:r>
        <w:rPr>
          <w:rFonts w:ascii="Arial" w:hAnsi="Arial" w:cs="Arial"/>
          <w:sz w:val="24"/>
          <w:szCs w:val="24"/>
        </w:rPr>
        <w:t xml:space="preserve"> foram informados pelo Instituto de Previdência do Estado – ACREPREVIDÊNCIA, conforme </w:t>
      </w:r>
      <w:r w:rsidR="00460F86">
        <w:rPr>
          <w:rFonts w:ascii="Arial" w:hAnsi="Arial" w:cs="Arial"/>
          <w:sz w:val="24"/>
          <w:szCs w:val="24"/>
        </w:rPr>
        <w:t>Cálculo</w:t>
      </w:r>
      <w:r w:rsidR="0019241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tuarial elaborado seguindo as diretrizes estabelecidas na Portaria MPS nº 403, de 10 de dezembro de 2008.</w:t>
      </w:r>
    </w:p>
    <w:p w:rsidR="00CB2848" w:rsidRDefault="00CB2848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CB2848" w:rsidRDefault="00CB2848" w:rsidP="00A64DE8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F47B6A" w:rsidRPr="00C56135" w:rsidRDefault="00F47B6A" w:rsidP="00F47B6A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56135">
        <w:rPr>
          <w:rFonts w:ascii="Arial" w:hAnsi="Arial" w:cs="Arial"/>
          <w:b/>
          <w:sz w:val="24"/>
          <w:szCs w:val="24"/>
          <w:u w:val="single"/>
        </w:rPr>
        <w:t xml:space="preserve">ANEXO 12 – </w:t>
      </w:r>
      <w:r w:rsidR="00C35C0E" w:rsidRPr="00C56135">
        <w:rPr>
          <w:rFonts w:ascii="Arial" w:hAnsi="Arial" w:cs="Arial"/>
          <w:b/>
          <w:sz w:val="24"/>
          <w:szCs w:val="24"/>
          <w:u w:val="single"/>
        </w:rPr>
        <w:t>Demonstrativo</w:t>
      </w:r>
      <w:r w:rsidR="003A43FE" w:rsidRPr="00C56135">
        <w:rPr>
          <w:rFonts w:ascii="Arial" w:hAnsi="Arial" w:cs="Arial"/>
          <w:b/>
          <w:sz w:val="24"/>
          <w:szCs w:val="24"/>
          <w:u w:val="single"/>
        </w:rPr>
        <w:t xml:space="preserve"> das Receitas e Despesas com Ações e Serviços Públicos de Saúde</w:t>
      </w:r>
    </w:p>
    <w:p w:rsidR="0070194C" w:rsidRPr="001B3F7F" w:rsidRDefault="0070194C" w:rsidP="00F47B6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64B2E" w:rsidRDefault="00F47B6A" w:rsidP="00FD18D0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1B3F7F">
        <w:rPr>
          <w:rFonts w:ascii="Arial" w:hAnsi="Arial" w:cs="Arial"/>
          <w:b/>
          <w:sz w:val="24"/>
          <w:szCs w:val="24"/>
        </w:rPr>
        <w:lastRenderedPageBreak/>
        <w:t>Nota 0</w:t>
      </w:r>
      <w:r>
        <w:rPr>
          <w:rFonts w:ascii="Arial" w:hAnsi="Arial" w:cs="Arial"/>
          <w:b/>
          <w:sz w:val="24"/>
          <w:szCs w:val="24"/>
        </w:rPr>
        <w:t xml:space="preserve">1 (Fl. 03 – Percentual de Aplicações): </w:t>
      </w:r>
      <w:r>
        <w:rPr>
          <w:rFonts w:ascii="Arial" w:hAnsi="Arial" w:cs="Arial"/>
          <w:sz w:val="24"/>
          <w:szCs w:val="24"/>
        </w:rPr>
        <w:t xml:space="preserve">O percentual mínimo de aplicações em </w:t>
      </w:r>
      <w:r w:rsidR="00B07BD2" w:rsidRPr="00B07BD2">
        <w:rPr>
          <w:rFonts w:ascii="Arial" w:hAnsi="Arial" w:cs="Arial"/>
          <w:sz w:val="24"/>
          <w:szCs w:val="24"/>
        </w:rPr>
        <w:t>ações e serviços públicos d</w:t>
      </w:r>
      <w:bookmarkStart w:id="0" w:name="_GoBack"/>
      <w:bookmarkEnd w:id="0"/>
      <w:r w:rsidR="00B07BD2" w:rsidRPr="00B07BD2">
        <w:rPr>
          <w:rFonts w:ascii="Arial" w:hAnsi="Arial" w:cs="Arial"/>
          <w:sz w:val="24"/>
          <w:szCs w:val="24"/>
        </w:rPr>
        <w:t xml:space="preserve">e saúde </w:t>
      </w:r>
      <w:r>
        <w:rPr>
          <w:rFonts w:ascii="Arial" w:hAnsi="Arial" w:cs="Arial"/>
          <w:sz w:val="24"/>
          <w:szCs w:val="24"/>
        </w:rPr>
        <w:t xml:space="preserve">encontra-se acima do limite mínimo de 12% sobre a Receita </w:t>
      </w:r>
      <w:r w:rsidR="0078418C">
        <w:rPr>
          <w:rFonts w:ascii="Arial" w:hAnsi="Arial" w:cs="Arial"/>
          <w:sz w:val="24"/>
          <w:szCs w:val="24"/>
        </w:rPr>
        <w:t xml:space="preserve">Líquida de Impostos, conforme dispõe a Lei Complementar nº 141/2012. </w:t>
      </w:r>
    </w:p>
    <w:p w:rsidR="00FD18D0" w:rsidRDefault="0078418C" w:rsidP="00FD18D0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sentido, o Estado do Acre </w:t>
      </w:r>
      <w:r w:rsidR="00264B2E">
        <w:rPr>
          <w:rFonts w:ascii="Arial" w:hAnsi="Arial" w:cs="Arial"/>
          <w:sz w:val="24"/>
          <w:szCs w:val="24"/>
        </w:rPr>
        <w:t xml:space="preserve">aplicou </w:t>
      </w:r>
      <w:r w:rsidR="00264B2E" w:rsidRPr="00C56135">
        <w:rPr>
          <w:rFonts w:ascii="Arial" w:hAnsi="Arial" w:cs="Arial"/>
          <w:b/>
          <w:sz w:val="24"/>
          <w:szCs w:val="24"/>
        </w:rPr>
        <w:t>14,</w:t>
      </w:r>
      <w:r w:rsidR="00D5049F" w:rsidRPr="00C56135">
        <w:rPr>
          <w:rFonts w:ascii="Arial" w:hAnsi="Arial" w:cs="Arial"/>
          <w:b/>
          <w:sz w:val="24"/>
          <w:szCs w:val="24"/>
        </w:rPr>
        <w:t>57</w:t>
      </w:r>
      <w:r w:rsidR="00264B2E" w:rsidRPr="00C56135">
        <w:rPr>
          <w:rFonts w:ascii="Arial" w:hAnsi="Arial" w:cs="Arial"/>
          <w:b/>
          <w:sz w:val="24"/>
          <w:szCs w:val="24"/>
        </w:rPr>
        <w:t>%</w:t>
      </w:r>
      <w:r w:rsidR="00C56135">
        <w:rPr>
          <w:rFonts w:ascii="Arial" w:hAnsi="Arial" w:cs="Arial"/>
          <w:sz w:val="24"/>
          <w:szCs w:val="24"/>
        </w:rPr>
        <w:t>(quatorze vírgula cinquenta e sete por cento)</w:t>
      </w:r>
      <w:r w:rsidR="00264B2E">
        <w:rPr>
          <w:rFonts w:ascii="Arial" w:hAnsi="Arial" w:cs="Arial"/>
          <w:sz w:val="24"/>
          <w:szCs w:val="24"/>
        </w:rPr>
        <w:t xml:space="preserve"> das Receitas oriundas de Impostos e Transferências Constitucionais </w:t>
      </w:r>
      <w:r>
        <w:rPr>
          <w:rFonts w:ascii="Arial" w:hAnsi="Arial" w:cs="Arial"/>
          <w:sz w:val="24"/>
          <w:szCs w:val="24"/>
        </w:rPr>
        <w:t xml:space="preserve">em </w:t>
      </w:r>
      <w:r w:rsidR="00264B2E">
        <w:rPr>
          <w:rFonts w:ascii="Arial" w:hAnsi="Arial" w:cs="Arial"/>
          <w:sz w:val="24"/>
          <w:szCs w:val="24"/>
        </w:rPr>
        <w:t>Ações e Serviços Públicos de Saúde</w:t>
      </w:r>
      <w:r>
        <w:rPr>
          <w:rFonts w:ascii="Arial" w:hAnsi="Arial" w:cs="Arial"/>
          <w:sz w:val="24"/>
          <w:szCs w:val="24"/>
        </w:rPr>
        <w:t>.</w:t>
      </w:r>
    </w:p>
    <w:p w:rsidR="00FD18D0" w:rsidRDefault="002F7826" w:rsidP="00FD18D0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6E21B2">
        <w:rPr>
          <w:rFonts w:ascii="Arial" w:hAnsi="Arial" w:cs="Arial"/>
          <w:sz w:val="24"/>
          <w:szCs w:val="24"/>
        </w:rPr>
        <w:t xml:space="preserve">Conforme Nota Técnica, </w:t>
      </w:r>
      <w:hyperlink r:id="rId9" w:history="1">
        <w:r w:rsidRPr="006E21B2">
          <w:rPr>
            <w:rFonts w:ascii="Arial" w:hAnsi="Arial" w:cs="Arial"/>
            <w:sz w:val="24"/>
            <w:szCs w:val="24"/>
          </w:rPr>
          <w:t xml:space="preserve"> SEI nº 21231/2020/ME</w:t>
        </w:r>
      </w:hyperlink>
      <w:r w:rsidRPr="006E21B2">
        <w:rPr>
          <w:rFonts w:ascii="Arial" w:hAnsi="Arial" w:cs="Arial"/>
          <w:sz w:val="24"/>
          <w:szCs w:val="24"/>
        </w:rPr>
        <w:t xml:space="preserve"> expedido</w:t>
      </w:r>
      <w:r>
        <w:rPr>
          <w:rFonts w:ascii="Arial" w:hAnsi="Arial" w:cs="Arial"/>
          <w:sz w:val="24"/>
          <w:szCs w:val="24"/>
        </w:rPr>
        <w:t xml:space="preserve"> pela Secretaria do Tesouro Nacional - STN</w:t>
      </w:r>
      <w:r w:rsidRPr="002F7826">
        <w:rPr>
          <w:rFonts w:ascii="Arial" w:hAnsi="Arial" w:cs="Arial"/>
          <w:sz w:val="24"/>
          <w:szCs w:val="24"/>
        </w:rPr>
        <w:t>, cujo objetivo é orientar os entes da Federação quanto à contabilização e ao tratamento fiscal dos recursos recebidos e aplicados no enfrentamento da emergência de saúde pública de importância internacional decorrente do coronavírus (COVID-19), como os decorrentes da Lei Complementar nº 173/2020</w:t>
      </w:r>
      <w:r>
        <w:rPr>
          <w:rFonts w:ascii="Arial" w:hAnsi="Arial" w:cs="Arial"/>
          <w:sz w:val="24"/>
          <w:szCs w:val="24"/>
        </w:rPr>
        <w:t xml:space="preserve">, versa </w:t>
      </w:r>
      <w:r w:rsidR="00FD18D0">
        <w:rPr>
          <w:rFonts w:ascii="Arial" w:hAnsi="Arial" w:cs="Arial"/>
          <w:sz w:val="24"/>
          <w:szCs w:val="24"/>
        </w:rPr>
        <w:t>no parágrafo 25:</w:t>
      </w:r>
    </w:p>
    <w:p w:rsidR="00FD18D0" w:rsidRDefault="00FD18D0" w:rsidP="00FD18D0">
      <w:pPr>
        <w:pStyle w:val="Corpodetexto"/>
        <w:spacing w:line="276" w:lineRule="auto"/>
        <w:ind w:firstLine="3119"/>
        <w:rPr>
          <w:rFonts w:ascii="Arial" w:hAnsi="Arial" w:cs="Arial"/>
          <w:sz w:val="24"/>
          <w:szCs w:val="24"/>
        </w:rPr>
      </w:pPr>
    </w:p>
    <w:p w:rsidR="00F47B6A" w:rsidRPr="00FD18D0" w:rsidRDefault="00FD18D0" w:rsidP="00FD18D0">
      <w:pPr>
        <w:pStyle w:val="Corpodetexto"/>
        <w:spacing w:line="276" w:lineRule="auto"/>
        <w:ind w:left="3119"/>
        <w:rPr>
          <w:rFonts w:ascii="Arial" w:hAnsi="Arial" w:cs="Arial"/>
          <w:i/>
          <w:sz w:val="24"/>
          <w:szCs w:val="24"/>
        </w:rPr>
      </w:pPr>
      <w:r w:rsidRPr="00FD18D0">
        <w:rPr>
          <w:rFonts w:ascii="Arial" w:hAnsi="Arial" w:cs="Arial"/>
          <w:i/>
          <w:sz w:val="24"/>
          <w:szCs w:val="24"/>
        </w:rPr>
        <w:t>“</w:t>
      </w:r>
      <w:r w:rsidRPr="00FD18D0">
        <w:rPr>
          <w:i/>
          <w:sz w:val="24"/>
          <w:szCs w:val="24"/>
        </w:rPr>
        <w:t>Esclarecemos que esse apoio financeiro não possui natureza tributária e, portanto, não integra as bases de cálculo para incidência de retenções destinadas ao FUNDEB e para fins de aplicação mínima em Manutenção e Desenvolvimento do Ensino (MDE) e em Ações e Serviços Públicos em Saúde (ASPS).”</w:t>
      </w: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FD18D0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 estão deduzidos deste Demonstrativo todas as despesas utilizadas nos programas de trabalho orçadas para o combate de enfrentamento ao COVID-19</w:t>
      </w:r>
    </w:p>
    <w:p w:rsidR="00C56135" w:rsidRDefault="00C56135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AC3973" w:rsidRDefault="00AC3973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Pr="00E33445" w:rsidRDefault="00973534" w:rsidP="00973534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3445">
        <w:rPr>
          <w:rFonts w:ascii="Arial" w:hAnsi="Arial" w:cs="Arial"/>
          <w:b/>
          <w:sz w:val="24"/>
          <w:szCs w:val="24"/>
          <w:u w:val="single"/>
        </w:rPr>
        <w:t>ANEXO 13 – Demonstrativo das Parcerias Público-Privadas (PPP)</w:t>
      </w: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973534" w:rsidRDefault="00973534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01:</w:t>
      </w:r>
      <w:r>
        <w:rPr>
          <w:rFonts w:ascii="Arial" w:hAnsi="Arial" w:cs="Arial"/>
          <w:sz w:val="24"/>
          <w:szCs w:val="24"/>
        </w:rPr>
        <w:t xml:space="preserve"> O Estado do Acre não possui Parcerias Público-Privada (PPP). </w:t>
      </w:r>
    </w:p>
    <w:p w:rsidR="003A43FE" w:rsidRDefault="003A43FE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3A43FE" w:rsidRDefault="003A43FE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E621A7" w:rsidRDefault="00E621A7" w:rsidP="00F47B6A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</w:p>
    <w:p w:rsidR="003A43FE" w:rsidRDefault="003A43FE" w:rsidP="003A43FE">
      <w:pPr>
        <w:pStyle w:val="Corpodetexto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Branco – Ac, 2</w:t>
      </w:r>
      <w:r w:rsidR="00E3344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E33445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202</w:t>
      </w:r>
      <w:r w:rsidR="00E33445">
        <w:rPr>
          <w:rFonts w:ascii="Arial" w:hAnsi="Arial" w:cs="Arial"/>
          <w:sz w:val="24"/>
          <w:szCs w:val="24"/>
        </w:rPr>
        <w:t>1</w:t>
      </w:r>
    </w:p>
    <w:p w:rsidR="003A43FE" w:rsidRDefault="003A43FE" w:rsidP="003A43FE">
      <w:pPr>
        <w:pStyle w:val="Corpodetex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3A43FE" w:rsidRDefault="003A43FE" w:rsidP="003A43FE">
      <w:pPr>
        <w:pStyle w:val="Corpodetex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621A7" w:rsidRDefault="00E621A7" w:rsidP="003A43FE">
      <w:pPr>
        <w:pStyle w:val="Corpodetext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3A43FE" w:rsidRDefault="003A43FE" w:rsidP="003A43FE">
      <w:pPr>
        <w:pStyle w:val="Corpodetex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A43FE" w:rsidRDefault="003A43FE" w:rsidP="003A43FE">
      <w:pPr>
        <w:pStyle w:val="Corpodetex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Eduardo Alves Maia Neto</w:t>
      </w:r>
    </w:p>
    <w:p w:rsidR="003A43FE" w:rsidRDefault="003A43FE" w:rsidP="003A43FE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da Contabilidade Geral do Estado</w:t>
      </w:r>
    </w:p>
    <w:p w:rsidR="003A43FE" w:rsidRPr="003A43FE" w:rsidRDefault="003A43FE" w:rsidP="003A43FE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Decreto nº 7.303, de 19/11/2020</w:t>
      </w:r>
    </w:p>
    <w:sectPr w:rsidR="003A43FE" w:rsidRPr="003A43FE" w:rsidSect="00641FD7">
      <w:headerReference w:type="default" r:id="rId10"/>
      <w:footerReference w:type="default" r:id="rId11"/>
      <w:footnotePr>
        <w:pos w:val="beneathText"/>
      </w:footnotePr>
      <w:pgSz w:w="11905" w:h="16837" w:code="9"/>
      <w:pgMar w:top="1418" w:right="848" w:bottom="992" w:left="1701" w:header="284" w:footer="694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A2" w:rsidRDefault="00023AA2">
      <w:r>
        <w:separator/>
      </w:r>
    </w:p>
  </w:endnote>
  <w:endnote w:type="continuationSeparator" w:id="1">
    <w:p w:rsidR="00023AA2" w:rsidRDefault="0002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BF" w:rsidRDefault="00404078" w:rsidP="00640FCF">
    <w:pPr>
      <w:pStyle w:val="Rodap"/>
      <w:pBdr>
        <w:right w:val="single" w:sz="4" w:space="4" w:color="auto"/>
      </w:pBdr>
      <w:jc w:val="right"/>
      <w:rPr>
        <w:rFonts w:ascii="Arial" w:hAnsi="Arial" w:cs="Arial"/>
        <w:sz w:val="16"/>
        <w:szCs w:val="16"/>
      </w:rPr>
    </w:pPr>
    <w:r w:rsidRPr="00404078">
      <w:rPr>
        <w:rFonts w:ascii="Arial" w:hAnsi="Arial" w:cs="Arial"/>
        <w:sz w:val="16"/>
        <w:szCs w:val="16"/>
      </w:rPr>
      <w:pict>
        <v:rect id="_x0000_i1026" style="width:0;height:1.5pt" o:hralign="center" o:hrstd="t" o:hr="t" fillcolor="#a0a0a0" stroked="f"/>
      </w:pict>
    </w:r>
  </w:p>
  <w:p w:rsidR="00CD5BD6" w:rsidRPr="00D376D9" w:rsidRDefault="00CD5BD6" w:rsidP="00640FCF">
    <w:pPr>
      <w:pStyle w:val="Rodap"/>
      <w:pBdr>
        <w:right w:val="single" w:sz="4" w:space="4" w:color="auto"/>
      </w:pBdr>
      <w:jc w:val="right"/>
      <w:rPr>
        <w:rFonts w:ascii="Arial" w:hAnsi="Arial" w:cs="Arial"/>
        <w:sz w:val="16"/>
        <w:szCs w:val="16"/>
      </w:rPr>
    </w:pPr>
    <w:r w:rsidRPr="00D376D9">
      <w:rPr>
        <w:rFonts w:ascii="Arial" w:hAnsi="Arial" w:cs="Arial"/>
        <w:sz w:val="16"/>
        <w:szCs w:val="16"/>
      </w:rPr>
      <w:t>Rua Benjamin Constant, 946 - Centro - CEP: 69.900-062. Rio Branco/Acre</w:t>
    </w:r>
  </w:p>
  <w:p w:rsidR="00CD5BD6" w:rsidRDefault="00CD5BD6" w:rsidP="00640FCF">
    <w:pPr>
      <w:pStyle w:val="Rodap"/>
      <w:pBdr>
        <w:right w:val="single" w:sz="4" w:space="4" w:color="auto"/>
      </w:pBdr>
      <w:jc w:val="right"/>
      <w:rPr>
        <w:rFonts w:ascii="Arial" w:eastAsia="Arial Unicode MS" w:hAnsi="Arial" w:cs="Arial"/>
        <w:sz w:val="16"/>
        <w:szCs w:val="16"/>
      </w:rPr>
    </w:pPr>
    <w:r w:rsidRPr="00D376D9">
      <w:rPr>
        <w:rFonts w:ascii="Arial" w:eastAsia="Arial Unicode MS" w:hAnsi="Arial" w:cs="Arial"/>
        <w:sz w:val="16"/>
        <w:szCs w:val="16"/>
      </w:rPr>
      <w:t xml:space="preserve"> (68) 3215.2079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A2" w:rsidRDefault="00023AA2">
      <w:r>
        <w:separator/>
      </w:r>
    </w:p>
  </w:footnote>
  <w:footnote w:type="continuationSeparator" w:id="1">
    <w:p w:rsidR="00023AA2" w:rsidRDefault="00023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6" w:type="dxa"/>
      <w:tblLayout w:type="fixed"/>
      <w:tblCellMar>
        <w:left w:w="0" w:type="dxa"/>
        <w:right w:w="0" w:type="dxa"/>
      </w:tblCellMar>
      <w:tblLook w:val="04A0"/>
    </w:tblPr>
    <w:tblGrid>
      <w:gridCol w:w="1046"/>
      <w:gridCol w:w="3068"/>
      <w:gridCol w:w="1011"/>
      <w:gridCol w:w="3981"/>
    </w:tblGrid>
    <w:tr w:rsidR="00641FD7" w:rsidRPr="00345253" w:rsidTr="00FB3A9B">
      <w:trPr>
        <w:trHeight w:hRule="exact" w:val="1567"/>
      </w:trPr>
      <w:tc>
        <w:tcPr>
          <w:tcW w:w="104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Default="00172BE1" w:rsidP="00FB3A9B">
          <w:pPr>
            <w:spacing w:before="540"/>
            <w:jc w:val="center"/>
            <w:rPr>
              <w:rFonts w:ascii="Arial" w:hAnsi="Arial"/>
              <w:color w:val="000000"/>
              <w:sz w:val="23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-104140</wp:posOffset>
                </wp:positionH>
                <wp:positionV relativeFrom="margin">
                  <wp:posOffset>161925</wp:posOffset>
                </wp:positionV>
                <wp:extent cx="720725" cy="914400"/>
                <wp:effectExtent l="19050" t="0" r="3175" b="0"/>
                <wp:wrapNone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6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Default="00641FD7" w:rsidP="00641FD7">
          <w:pPr>
            <w:ind w:right="540"/>
            <w:rPr>
              <w:rFonts w:ascii="Arial" w:hAnsi="Arial" w:cs="Arial"/>
              <w:b/>
              <w:color w:val="000000"/>
              <w:w w:val="105"/>
              <w:sz w:val="24"/>
            </w:rPr>
          </w:pPr>
        </w:p>
        <w:p w:rsidR="00641FD7" w:rsidRDefault="00641FD7" w:rsidP="00FB3A9B">
          <w:pPr>
            <w:ind w:left="216" w:right="540"/>
            <w:rPr>
              <w:rFonts w:ascii="Arial" w:hAnsi="Arial" w:cs="Arial"/>
              <w:b/>
              <w:color w:val="000000"/>
              <w:w w:val="105"/>
              <w:sz w:val="24"/>
            </w:rPr>
          </w:pPr>
        </w:p>
        <w:p w:rsidR="00641FD7" w:rsidRPr="006E54E3" w:rsidRDefault="00641FD7" w:rsidP="00D54CCF">
          <w:pPr>
            <w:ind w:left="216" w:right="540"/>
            <w:rPr>
              <w:rFonts w:ascii="Arial" w:hAnsi="Arial" w:cs="Arial"/>
              <w:b/>
              <w:color w:val="000000"/>
              <w:w w:val="105"/>
              <w:sz w:val="24"/>
            </w:rPr>
          </w:pPr>
          <w:r w:rsidRPr="006E54E3">
            <w:rPr>
              <w:rFonts w:ascii="Arial" w:hAnsi="Arial" w:cs="Arial"/>
              <w:b/>
              <w:color w:val="000000"/>
              <w:w w:val="105"/>
              <w:sz w:val="24"/>
            </w:rPr>
            <w:t xml:space="preserve">GOVERNO DO </w:t>
          </w:r>
          <w:r w:rsidRPr="006E54E3">
            <w:rPr>
              <w:rFonts w:ascii="Arial" w:hAnsi="Arial" w:cs="Arial"/>
              <w:b/>
              <w:color w:val="000000"/>
              <w:spacing w:val="-17"/>
              <w:w w:val="105"/>
              <w:sz w:val="24"/>
            </w:rPr>
            <w:t>ESTADO DO ACRE</w:t>
          </w:r>
        </w:p>
        <w:p w:rsidR="00641FD7" w:rsidRDefault="00641FD7" w:rsidP="00FB3A9B">
          <w:pPr>
            <w:spacing w:line="266" w:lineRule="auto"/>
            <w:ind w:left="216"/>
            <w:rPr>
              <w:rFonts w:ascii="Arial" w:hAnsi="Arial"/>
              <w:spacing w:val="-6"/>
              <w:sz w:val="19"/>
            </w:rPr>
          </w:pPr>
          <w:r w:rsidRPr="007B2D41">
            <w:rPr>
              <w:rFonts w:ascii="Arial" w:hAnsi="Arial"/>
              <w:spacing w:val="-6"/>
              <w:sz w:val="19"/>
              <w:u w:val="single"/>
            </w:rPr>
            <w:t>www.ac.gov.br</w:t>
          </w:r>
        </w:p>
        <w:p w:rsidR="00641FD7" w:rsidRPr="00345253" w:rsidRDefault="00641FD7" w:rsidP="00FB3A9B"/>
      </w:tc>
      <w:tc>
        <w:tcPr>
          <w:tcW w:w="1011" w:type="dxa"/>
          <w:shd w:val="clear" w:color="auto" w:fill="auto"/>
        </w:tcPr>
        <w:p w:rsidR="00641FD7" w:rsidRDefault="00641FD7" w:rsidP="00FB3A9B"/>
        <w:p w:rsidR="00641FD7" w:rsidRPr="006E54E3" w:rsidRDefault="00641FD7" w:rsidP="00FB3A9B"/>
        <w:p w:rsidR="00641FD7" w:rsidRPr="006E54E3" w:rsidRDefault="00641FD7" w:rsidP="00FB3A9B"/>
        <w:p w:rsidR="00641FD7" w:rsidRDefault="00641FD7" w:rsidP="00FB3A9B"/>
        <w:p w:rsidR="00641FD7" w:rsidRPr="006E54E3" w:rsidRDefault="00641FD7" w:rsidP="00FB3A9B"/>
      </w:tc>
      <w:tc>
        <w:tcPr>
          <w:tcW w:w="3981" w:type="dxa"/>
          <w:tcBorders>
            <w:top w:val="none" w:sz="0" w:space="0" w:color="000000"/>
            <w:left w:val="nil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Default="00641FD7" w:rsidP="00FB3A9B">
          <w:pPr>
            <w:ind w:right="63"/>
            <w:jc w:val="right"/>
            <w:rPr>
              <w:rFonts w:ascii="Arial" w:hAnsi="Arial"/>
              <w:color w:val="000000"/>
              <w:spacing w:val="4"/>
              <w:sz w:val="18"/>
            </w:rPr>
          </w:pPr>
        </w:p>
        <w:p w:rsidR="00641FD7" w:rsidRDefault="00641FD7" w:rsidP="00FB3A9B">
          <w:pPr>
            <w:ind w:right="63"/>
            <w:jc w:val="right"/>
            <w:rPr>
              <w:rFonts w:ascii="Arial" w:hAnsi="Arial"/>
              <w:color w:val="000000"/>
              <w:spacing w:val="4"/>
              <w:sz w:val="18"/>
            </w:rPr>
          </w:pPr>
        </w:p>
        <w:p w:rsidR="00641FD7" w:rsidRDefault="00641FD7" w:rsidP="00FB3A9B">
          <w:pPr>
            <w:ind w:right="63"/>
            <w:jc w:val="right"/>
            <w:rPr>
              <w:rFonts w:ascii="Arial" w:hAnsi="Arial"/>
              <w:color w:val="000000"/>
              <w:spacing w:val="4"/>
              <w:sz w:val="18"/>
            </w:rPr>
          </w:pPr>
        </w:p>
        <w:p w:rsidR="00641FD7" w:rsidRPr="006E54E3" w:rsidRDefault="00641FD7" w:rsidP="00FB3A9B">
          <w:pPr>
            <w:ind w:right="63"/>
            <w:jc w:val="right"/>
            <w:rPr>
              <w:rFonts w:ascii="Arial" w:hAnsi="Arial"/>
              <w:color w:val="000000"/>
              <w:spacing w:val="4"/>
            </w:rPr>
          </w:pPr>
          <w:r w:rsidRPr="006E54E3">
            <w:rPr>
              <w:rFonts w:ascii="Arial" w:hAnsi="Arial"/>
              <w:color w:val="000000"/>
              <w:spacing w:val="4"/>
            </w:rPr>
            <w:t>SECRETARIA DE ESTADO DA</w:t>
          </w:r>
        </w:p>
        <w:p w:rsidR="00641FD7" w:rsidRPr="00345253" w:rsidRDefault="00641FD7" w:rsidP="00FB3A9B">
          <w:pPr>
            <w:spacing w:before="72" w:line="208" w:lineRule="auto"/>
            <w:ind w:right="63"/>
            <w:jc w:val="right"/>
            <w:rPr>
              <w:rFonts w:ascii="Arial" w:hAnsi="Arial"/>
              <w:b/>
              <w:color w:val="000000"/>
              <w:spacing w:val="-2"/>
              <w:sz w:val="29"/>
            </w:rPr>
          </w:pPr>
          <w:r w:rsidRPr="006E54E3">
            <w:rPr>
              <w:rFonts w:ascii="Arial" w:hAnsi="Arial"/>
              <w:b/>
              <w:color w:val="000000"/>
              <w:spacing w:val="-2"/>
              <w:sz w:val="28"/>
            </w:rPr>
            <w:t>FAZENDA</w:t>
          </w:r>
        </w:p>
      </w:tc>
    </w:tr>
    <w:tr w:rsidR="00641FD7" w:rsidRPr="00345253" w:rsidTr="00FB3A9B">
      <w:trPr>
        <w:trHeight w:hRule="exact" w:val="29"/>
      </w:trPr>
      <w:tc>
        <w:tcPr>
          <w:tcW w:w="104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Pr="00345253" w:rsidRDefault="00641FD7" w:rsidP="00FB3A9B"/>
      </w:tc>
      <w:tc>
        <w:tcPr>
          <w:tcW w:w="306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Pr="00345253" w:rsidRDefault="00641FD7" w:rsidP="00FB3A9B"/>
      </w:tc>
      <w:tc>
        <w:tcPr>
          <w:tcW w:w="1011" w:type="dxa"/>
          <w:tcBorders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Pr="00345253" w:rsidRDefault="00641FD7" w:rsidP="00FB3A9B"/>
      </w:tc>
      <w:tc>
        <w:tcPr>
          <w:tcW w:w="3981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:rsidR="00641FD7" w:rsidRPr="00345253" w:rsidRDefault="00641FD7" w:rsidP="00FB3A9B"/>
      </w:tc>
    </w:tr>
  </w:tbl>
  <w:p w:rsidR="00343198" w:rsidRPr="00641FD7" w:rsidRDefault="00404078" w:rsidP="00641FD7">
    <w:pPr>
      <w:pStyle w:val="Cabealho"/>
      <w:rPr>
        <w:rFonts w:eastAsia="Arial Unicode MS"/>
        <w:szCs w:val="24"/>
      </w:rPr>
    </w:pPr>
    <w:r w:rsidRPr="00404078">
      <w:rPr>
        <w:rFonts w:ascii="Arial" w:hAnsi="Arial" w:cs="Arial"/>
        <w:sz w:val="16"/>
        <w:szCs w:val="16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490" w:hanging="2130"/>
      </w:pPr>
      <w:rPr>
        <w:rFonts w:hint="default"/>
        <w:b w:val="0"/>
        <w:sz w:val="24"/>
        <w:szCs w:val="24"/>
      </w:rPr>
    </w:lvl>
  </w:abstractNum>
  <w:abstractNum w:abstractNumId="3">
    <w:nsid w:val="01570262"/>
    <w:multiLevelType w:val="hybridMultilevel"/>
    <w:tmpl w:val="22E64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31EF0"/>
    <w:multiLevelType w:val="hybridMultilevel"/>
    <w:tmpl w:val="44F0FC3A"/>
    <w:lvl w:ilvl="0" w:tplc="924AC71E">
      <w:start w:val="1"/>
      <w:numFmt w:val="decimal"/>
      <w:lvlText w:val="%1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849AD"/>
    <w:multiLevelType w:val="hybridMultilevel"/>
    <w:tmpl w:val="02CA52D6"/>
    <w:lvl w:ilvl="0" w:tplc="2980779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D1EED"/>
    <w:multiLevelType w:val="hybridMultilevel"/>
    <w:tmpl w:val="2E5E5766"/>
    <w:lvl w:ilvl="0" w:tplc="8CA2C1CC">
      <w:start w:val="1"/>
      <w:numFmt w:val="decimal"/>
      <w:lvlText w:val="%1."/>
      <w:lvlJc w:val="left"/>
      <w:pPr>
        <w:tabs>
          <w:tab w:val="num" w:pos="3912"/>
        </w:tabs>
        <w:ind w:left="3912" w:hanging="142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7">
    <w:nsid w:val="634A5FAA"/>
    <w:multiLevelType w:val="hybridMultilevel"/>
    <w:tmpl w:val="B330CD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58262E"/>
    <w:multiLevelType w:val="hybridMultilevel"/>
    <w:tmpl w:val="7CEAB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31F4"/>
    <w:rsid w:val="00000839"/>
    <w:rsid w:val="00001DAE"/>
    <w:rsid w:val="00002001"/>
    <w:rsid w:val="00004A60"/>
    <w:rsid w:val="00010A36"/>
    <w:rsid w:val="00011606"/>
    <w:rsid w:val="00017C1A"/>
    <w:rsid w:val="00017FA0"/>
    <w:rsid w:val="00023714"/>
    <w:rsid w:val="00023AA2"/>
    <w:rsid w:val="0002474D"/>
    <w:rsid w:val="00025562"/>
    <w:rsid w:val="00027AD0"/>
    <w:rsid w:val="00027D99"/>
    <w:rsid w:val="00027E12"/>
    <w:rsid w:val="0003010A"/>
    <w:rsid w:val="00036F4C"/>
    <w:rsid w:val="000377AC"/>
    <w:rsid w:val="00045743"/>
    <w:rsid w:val="0004621D"/>
    <w:rsid w:val="00046563"/>
    <w:rsid w:val="00046E97"/>
    <w:rsid w:val="000470A5"/>
    <w:rsid w:val="00047FB5"/>
    <w:rsid w:val="00050ECD"/>
    <w:rsid w:val="0005260D"/>
    <w:rsid w:val="00052863"/>
    <w:rsid w:val="000568FD"/>
    <w:rsid w:val="00057883"/>
    <w:rsid w:val="00061AF6"/>
    <w:rsid w:val="00063D45"/>
    <w:rsid w:val="00064C4C"/>
    <w:rsid w:val="00072F1F"/>
    <w:rsid w:val="00073AEF"/>
    <w:rsid w:val="0007451F"/>
    <w:rsid w:val="000753AE"/>
    <w:rsid w:val="0007558C"/>
    <w:rsid w:val="0007596C"/>
    <w:rsid w:val="00080E36"/>
    <w:rsid w:val="00084211"/>
    <w:rsid w:val="000854A2"/>
    <w:rsid w:val="00092965"/>
    <w:rsid w:val="000978AA"/>
    <w:rsid w:val="00097D47"/>
    <w:rsid w:val="000A1E53"/>
    <w:rsid w:val="000A2D97"/>
    <w:rsid w:val="000A3A8D"/>
    <w:rsid w:val="000A3F36"/>
    <w:rsid w:val="000A461B"/>
    <w:rsid w:val="000A4B82"/>
    <w:rsid w:val="000B0B02"/>
    <w:rsid w:val="000B580D"/>
    <w:rsid w:val="000C7683"/>
    <w:rsid w:val="000D6E17"/>
    <w:rsid w:val="000D7442"/>
    <w:rsid w:val="000E12A7"/>
    <w:rsid w:val="000E1FD7"/>
    <w:rsid w:val="000E3682"/>
    <w:rsid w:val="000E5F32"/>
    <w:rsid w:val="000F1FBA"/>
    <w:rsid w:val="000F70DA"/>
    <w:rsid w:val="0010156F"/>
    <w:rsid w:val="001016E4"/>
    <w:rsid w:val="00103EE6"/>
    <w:rsid w:val="00104756"/>
    <w:rsid w:val="00105102"/>
    <w:rsid w:val="0010573C"/>
    <w:rsid w:val="001075CB"/>
    <w:rsid w:val="00110C37"/>
    <w:rsid w:val="00114456"/>
    <w:rsid w:val="001158D0"/>
    <w:rsid w:val="00115941"/>
    <w:rsid w:val="00115CE6"/>
    <w:rsid w:val="00116DE3"/>
    <w:rsid w:val="00116EF1"/>
    <w:rsid w:val="00117180"/>
    <w:rsid w:val="00126460"/>
    <w:rsid w:val="0012731C"/>
    <w:rsid w:val="00131574"/>
    <w:rsid w:val="00132F91"/>
    <w:rsid w:val="0013381A"/>
    <w:rsid w:val="0013607E"/>
    <w:rsid w:val="00136E73"/>
    <w:rsid w:val="001370B0"/>
    <w:rsid w:val="001372B1"/>
    <w:rsid w:val="00142E91"/>
    <w:rsid w:val="00142F24"/>
    <w:rsid w:val="0014300B"/>
    <w:rsid w:val="00146589"/>
    <w:rsid w:val="0014798B"/>
    <w:rsid w:val="001517F9"/>
    <w:rsid w:val="00153DC0"/>
    <w:rsid w:val="00156700"/>
    <w:rsid w:val="0015688B"/>
    <w:rsid w:val="001579E4"/>
    <w:rsid w:val="00164744"/>
    <w:rsid w:val="001659B0"/>
    <w:rsid w:val="00171514"/>
    <w:rsid w:val="0017244B"/>
    <w:rsid w:val="00172BE1"/>
    <w:rsid w:val="00176024"/>
    <w:rsid w:val="0018334A"/>
    <w:rsid w:val="00186306"/>
    <w:rsid w:val="00186E1A"/>
    <w:rsid w:val="001914D5"/>
    <w:rsid w:val="00192041"/>
    <w:rsid w:val="0019241E"/>
    <w:rsid w:val="001962F6"/>
    <w:rsid w:val="001A4594"/>
    <w:rsid w:val="001A7427"/>
    <w:rsid w:val="001A7A5D"/>
    <w:rsid w:val="001B2E03"/>
    <w:rsid w:val="001B360A"/>
    <w:rsid w:val="001B3F7F"/>
    <w:rsid w:val="001B66E1"/>
    <w:rsid w:val="001B6F4F"/>
    <w:rsid w:val="001B72F1"/>
    <w:rsid w:val="001C02A1"/>
    <w:rsid w:val="001C2893"/>
    <w:rsid w:val="001C47C7"/>
    <w:rsid w:val="001C766E"/>
    <w:rsid w:val="001C76D5"/>
    <w:rsid w:val="001C76DB"/>
    <w:rsid w:val="001D31D3"/>
    <w:rsid w:val="001D6855"/>
    <w:rsid w:val="001E0A42"/>
    <w:rsid w:val="001E563C"/>
    <w:rsid w:val="001E7374"/>
    <w:rsid w:val="001F31C8"/>
    <w:rsid w:val="001F5871"/>
    <w:rsid w:val="002002A9"/>
    <w:rsid w:val="00200C87"/>
    <w:rsid w:val="00202866"/>
    <w:rsid w:val="00206C04"/>
    <w:rsid w:val="002179C4"/>
    <w:rsid w:val="0022407F"/>
    <w:rsid w:val="0022445C"/>
    <w:rsid w:val="0022515F"/>
    <w:rsid w:val="0022773C"/>
    <w:rsid w:val="00230C12"/>
    <w:rsid w:val="0023286D"/>
    <w:rsid w:val="00232936"/>
    <w:rsid w:val="0023518F"/>
    <w:rsid w:val="00236228"/>
    <w:rsid w:val="002367E5"/>
    <w:rsid w:val="00237187"/>
    <w:rsid w:val="0024269B"/>
    <w:rsid w:val="0024416A"/>
    <w:rsid w:val="002450F2"/>
    <w:rsid w:val="00245A0E"/>
    <w:rsid w:val="00245DAE"/>
    <w:rsid w:val="00247279"/>
    <w:rsid w:val="0024753B"/>
    <w:rsid w:val="00250CA5"/>
    <w:rsid w:val="00252414"/>
    <w:rsid w:val="002524DA"/>
    <w:rsid w:val="002525E0"/>
    <w:rsid w:val="00253498"/>
    <w:rsid w:val="0025352D"/>
    <w:rsid w:val="002538AA"/>
    <w:rsid w:val="00254AEB"/>
    <w:rsid w:val="002550F5"/>
    <w:rsid w:val="00260311"/>
    <w:rsid w:val="00260718"/>
    <w:rsid w:val="00260B96"/>
    <w:rsid w:val="00262046"/>
    <w:rsid w:val="00262645"/>
    <w:rsid w:val="00264B2E"/>
    <w:rsid w:val="00266748"/>
    <w:rsid w:val="00266F00"/>
    <w:rsid w:val="00270A3D"/>
    <w:rsid w:val="00275415"/>
    <w:rsid w:val="00275AE0"/>
    <w:rsid w:val="00276201"/>
    <w:rsid w:val="00276864"/>
    <w:rsid w:val="00277BC4"/>
    <w:rsid w:val="00282228"/>
    <w:rsid w:val="002911F8"/>
    <w:rsid w:val="00291F76"/>
    <w:rsid w:val="00293B66"/>
    <w:rsid w:val="002A046E"/>
    <w:rsid w:val="002A0AE3"/>
    <w:rsid w:val="002A317C"/>
    <w:rsid w:val="002A3A7F"/>
    <w:rsid w:val="002A6EB6"/>
    <w:rsid w:val="002B4EFB"/>
    <w:rsid w:val="002C1C93"/>
    <w:rsid w:val="002C4291"/>
    <w:rsid w:val="002C44CE"/>
    <w:rsid w:val="002C6BF9"/>
    <w:rsid w:val="002D219F"/>
    <w:rsid w:val="002D35E6"/>
    <w:rsid w:val="002D5C70"/>
    <w:rsid w:val="002E54BC"/>
    <w:rsid w:val="002F0E11"/>
    <w:rsid w:val="002F2EA1"/>
    <w:rsid w:val="002F38B6"/>
    <w:rsid w:val="002F4909"/>
    <w:rsid w:val="002F62A0"/>
    <w:rsid w:val="002F6B3E"/>
    <w:rsid w:val="002F752C"/>
    <w:rsid w:val="002F7826"/>
    <w:rsid w:val="003031DF"/>
    <w:rsid w:val="00303FB9"/>
    <w:rsid w:val="003062F8"/>
    <w:rsid w:val="003066B1"/>
    <w:rsid w:val="003066C6"/>
    <w:rsid w:val="0031202D"/>
    <w:rsid w:val="0031421F"/>
    <w:rsid w:val="00317C2F"/>
    <w:rsid w:val="00317F5D"/>
    <w:rsid w:val="00330810"/>
    <w:rsid w:val="00331DDD"/>
    <w:rsid w:val="0033448E"/>
    <w:rsid w:val="003353D9"/>
    <w:rsid w:val="00340176"/>
    <w:rsid w:val="00343198"/>
    <w:rsid w:val="00343AF6"/>
    <w:rsid w:val="0034735D"/>
    <w:rsid w:val="00350B6C"/>
    <w:rsid w:val="00351D48"/>
    <w:rsid w:val="00351F7C"/>
    <w:rsid w:val="00363CE8"/>
    <w:rsid w:val="00370B87"/>
    <w:rsid w:val="003724EE"/>
    <w:rsid w:val="00373997"/>
    <w:rsid w:val="0037786A"/>
    <w:rsid w:val="00384585"/>
    <w:rsid w:val="003848A3"/>
    <w:rsid w:val="003850A3"/>
    <w:rsid w:val="00392809"/>
    <w:rsid w:val="003970AE"/>
    <w:rsid w:val="003A3A62"/>
    <w:rsid w:val="003A3CB2"/>
    <w:rsid w:val="003A43FE"/>
    <w:rsid w:val="003A7A7C"/>
    <w:rsid w:val="003B0C27"/>
    <w:rsid w:val="003B76B5"/>
    <w:rsid w:val="003C04CE"/>
    <w:rsid w:val="003C65F4"/>
    <w:rsid w:val="003C7CC1"/>
    <w:rsid w:val="003D1F0A"/>
    <w:rsid w:val="003D48FC"/>
    <w:rsid w:val="003D4ADF"/>
    <w:rsid w:val="003D598C"/>
    <w:rsid w:val="003E0800"/>
    <w:rsid w:val="003E192D"/>
    <w:rsid w:val="003E1A8F"/>
    <w:rsid w:val="003E33CE"/>
    <w:rsid w:val="003E460E"/>
    <w:rsid w:val="004014C3"/>
    <w:rsid w:val="00402384"/>
    <w:rsid w:val="0040401C"/>
    <w:rsid w:val="00404078"/>
    <w:rsid w:val="004046C9"/>
    <w:rsid w:val="0040552D"/>
    <w:rsid w:val="004055D4"/>
    <w:rsid w:val="00405BF1"/>
    <w:rsid w:val="00411CB0"/>
    <w:rsid w:val="00411FE7"/>
    <w:rsid w:val="00412FD9"/>
    <w:rsid w:val="00413AC7"/>
    <w:rsid w:val="00424C9C"/>
    <w:rsid w:val="004255AF"/>
    <w:rsid w:val="00425620"/>
    <w:rsid w:val="00425A0D"/>
    <w:rsid w:val="00425E04"/>
    <w:rsid w:val="0043070D"/>
    <w:rsid w:val="0043127A"/>
    <w:rsid w:val="00431751"/>
    <w:rsid w:val="004358C0"/>
    <w:rsid w:val="004410A5"/>
    <w:rsid w:val="004429BB"/>
    <w:rsid w:val="00444ECD"/>
    <w:rsid w:val="00445676"/>
    <w:rsid w:val="004458BE"/>
    <w:rsid w:val="0044716B"/>
    <w:rsid w:val="00447826"/>
    <w:rsid w:val="00450883"/>
    <w:rsid w:val="00455414"/>
    <w:rsid w:val="00455C06"/>
    <w:rsid w:val="00460F86"/>
    <w:rsid w:val="00461912"/>
    <w:rsid w:val="00463354"/>
    <w:rsid w:val="004649B8"/>
    <w:rsid w:val="00465AB3"/>
    <w:rsid w:val="004676A8"/>
    <w:rsid w:val="00467C6D"/>
    <w:rsid w:val="0047178A"/>
    <w:rsid w:val="0047232B"/>
    <w:rsid w:val="00472F5B"/>
    <w:rsid w:val="00473250"/>
    <w:rsid w:val="00473C3C"/>
    <w:rsid w:val="004767BF"/>
    <w:rsid w:val="00480109"/>
    <w:rsid w:val="00484399"/>
    <w:rsid w:val="0049005F"/>
    <w:rsid w:val="004917A0"/>
    <w:rsid w:val="00492252"/>
    <w:rsid w:val="00496F29"/>
    <w:rsid w:val="004A22B7"/>
    <w:rsid w:val="004A2856"/>
    <w:rsid w:val="004A2D85"/>
    <w:rsid w:val="004A6170"/>
    <w:rsid w:val="004A69AB"/>
    <w:rsid w:val="004B76FF"/>
    <w:rsid w:val="004C16F1"/>
    <w:rsid w:val="004C1C61"/>
    <w:rsid w:val="004C222B"/>
    <w:rsid w:val="004C2FFE"/>
    <w:rsid w:val="004C38E1"/>
    <w:rsid w:val="004C495A"/>
    <w:rsid w:val="004C66E3"/>
    <w:rsid w:val="004C71DD"/>
    <w:rsid w:val="004C751A"/>
    <w:rsid w:val="004C753C"/>
    <w:rsid w:val="004C7A18"/>
    <w:rsid w:val="004D03F0"/>
    <w:rsid w:val="004D0B6B"/>
    <w:rsid w:val="004D0CB9"/>
    <w:rsid w:val="004D1B06"/>
    <w:rsid w:val="004D4057"/>
    <w:rsid w:val="004D5046"/>
    <w:rsid w:val="004D51A2"/>
    <w:rsid w:val="004D7712"/>
    <w:rsid w:val="004E09C5"/>
    <w:rsid w:val="004E4579"/>
    <w:rsid w:val="004F079E"/>
    <w:rsid w:val="004F353B"/>
    <w:rsid w:val="004F378C"/>
    <w:rsid w:val="004F3D81"/>
    <w:rsid w:val="004F40C6"/>
    <w:rsid w:val="004F485D"/>
    <w:rsid w:val="004F733A"/>
    <w:rsid w:val="005010FF"/>
    <w:rsid w:val="00504633"/>
    <w:rsid w:val="00505BED"/>
    <w:rsid w:val="005127C3"/>
    <w:rsid w:val="0051735F"/>
    <w:rsid w:val="00517ACC"/>
    <w:rsid w:val="005226E4"/>
    <w:rsid w:val="00524010"/>
    <w:rsid w:val="00524015"/>
    <w:rsid w:val="00527D6E"/>
    <w:rsid w:val="00532B94"/>
    <w:rsid w:val="00534A10"/>
    <w:rsid w:val="00537327"/>
    <w:rsid w:val="00537C3C"/>
    <w:rsid w:val="00545222"/>
    <w:rsid w:val="00550FCC"/>
    <w:rsid w:val="00556B44"/>
    <w:rsid w:val="00557951"/>
    <w:rsid w:val="00561B57"/>
    <w:rsid w:val="005629B1"/>
    <w:rsid w:val="005677DB"/>
    <w:rsid w:val="00570340"/>
    <w:rsid w:val="005705EA"/>
    <w:rsid w:val="00572383"/>
    <w:rsid w:val="0057276A"/>
    <w:rsid w:val="00577B95"/>
    <w:rsid w:val="00581000"/>
    <w:rsid w:val="00583FF0"/>
    <w:rsid w:val="0058491B"/>
    <w:rsid w:val="00584B73"/>
    <w:rsid w:val="00586900"/>
    <w:rsid w:val="00591156"/>
    <w:rsid w:val="00592691"/>
    <w:rsid w:val="00595ACA"/>
    <w:rsid w:val="005A0FCC"/>
    <w:rsid w:val="005A7A4F"/>
    <w:rsid w:val="005B1B04"/>
    <w:rsid w:val="005B2B39"/>
    <w:rsid w:val="005B4DA3"/>
    <w:rsid w:val="005B593E"/>
    <w:rsid w:val="005C2523"/>
    <w:rsid w:val="005C7460"/>
    <w:rsid w:val="005D3D7F"/>
    <w:rsid w:val="005D652F"/>
    <w:rsid w:val="005D7AEA"/>
    <w:rsid w:val="005E14CC"/>
    <w:rsid w:val="005E3261"/>
    <w:rsid w:val="005E3F45"/>
    <w:rsid w:val="005E5873"/>
    <w:rsid w:val="005E71F4"/>
    <w:rsid w:val="005F07A0"/>
    <w:rsid w:val="005F2049"/>
    <w:rsid w:val="005F3F32"/>
    <w:rsid w:val="005F4087"/>
    <w:rsid w:val="005F5B2C"/>
    <w:rsid w:val="005F6028"/>
    <w:rsid w:val="005F755A"/>
    <w:rsid w:val="00600DE6"/>
    <w:rsid w:val="00601906"/>
    <w:rsid w:val="00604968"/>
    <w:rsid w:val="00606003"/>
    <w:rsid w:val="00610A56"/>
    <w:rsid w:val="00613741"/>
    <w:rsid w:val="006145E9"/>
    <w:rsid w:val="0061787D"/>
    <w:rsid w:val="00617AC8"/>
    <w:rsid w:val="00626EE6"/>
    <w:rsid w:val="00627453"/>
    <w:rsid w:val="006279B2"/>
    <w:rsid w:val="00630233"/>
    <w:rsid w:val="006303D4"/>
    <w:rsid w:val="00630BD5"/>
    <w:rsid w:val="0063198C"/>
    <w:rsid w:val="00632B01"/>
    <w:rsid w:val="00633CCD"/>
    <w:rsid w:val="00637CE6"/>
    <w:rsid w:val="00640FCF"/>
    <w:rsid w:val="00641FD7"/>
    <w:rsid w:val="00642638"/>
    <w:rsid w:val="00644E07"/>
    <w:rsid w:val="00645044"/>
    <w:rsid w:val="00646BD9"/>
    <w:rsid w:val="006478AC"/>
    <w:rsid w:val="0066084C"/>
    <w:rsid w:val="00662628"/>
    <w:rsid w:val="006645E9"/>
    <w:rsid w:val="00666DE4"/>
    <w:rsid w:val="0067040E"/>
    <w:rsid w:val="0067158F"/>
    <w:rsid w:val="00671C41"/>
    <w:rsid w:val="0067251B"/>
    <w:rsid w:val="006735C4"/>
    <w:rsid w:val="00673693"/>
    <w:rsid w:val="0067421E"/>
    <w:rsid w:val="00675465"/>
    <w:rsid w:val="0067602E"/>
    <w:rsid w:val="0068330E"/>
    <w:rsid w:val="00686D35"/>
    <w:rsid w:val="00687A0D"/>
    <w:rsid w:val="00691930"/>
    <w:rsid w:val="00691D19"/>
    <w:rsid w:val="006926BF"/>
    <w:rsid w:val="00692A41"/>
    <w:rsid w:val="00696DF0"/>
    <w:rsid w:val="0069775E"/>
    <w:rsid w:val="006A1D4D"/>
    <w:rsid w:val="006A2589"/>
    <w:rsid w:val="006A2803"/>
    <w:rsid w:val="006A4EFD"/>
    <w:rsid w:val="006B276D"/>
    <w:rsid w:val="006B2D38"/>
    <w:rsid w:val="006B4BA8"/>
    <w:rsid w:val="006B5EC9"/>
    <w:rsid w:val="006B6854"/>
    <w:rsid w:val="006C1256"/>
    <w:rsid w:val="006C16CB"/>
    <w:rsid w:val="006C4457"/>
    <w:rsid w:val="006C4C62"/>
    <w:rsid w:val="006C7FF5"/>
    <w:rsid w:val="006D0365"/>
    <w:rsid w:val="006D6C9B"/>
    <w:rsid w:val="006E090F"/>
    <w:rsid w:val="006E0AA9"/>
    <w:rsid w:val="006E21B2"/>
    <w:rsid w:val="006E2B74"/>
    <w:rsid w:val="006E5856"/>
    <w:rsid w:val="006E7073"/>
    <w:rsid w:val="006E7C61"/>
    <w:rsid w:val="006F6CDD"/>
    <w:rsid w:val="006F71FF"/>
    <w:rsid w:val="007001A2"/>
    <w:rsid w:val="0070194C"/>
    <w:rsid w:val="0070330D"/>
    <w:rsid w:val="00703592"/>
    <w:rsid w:val="00704581"/>
    <w:rsid w:val="00704A10"/>
    <w:rsid w:val="007051A8"/>
    <w:rsid w:val="007101A1"/>
    <w:rsid w:val="0071317B"/>
    <w:rsid w:val="00715EFF"/>
    <w:rsid w:val="00724F27"/>
    <w:rsid w:val="00725997"/>
    <w:rsid w:val="00726702"/>
    <w:rsid w:val="00730961"/>
    <w:rsid w:val="0073305C"/>
    <w:rsid w:val="0073580A"/>
    <w:rsid w:val="007407AF"/>
    <w:rsid w:val="00741B7E"/>
    <w:rsid w:val="007442B6"/>
    <w:rsid w:val="007468FD"/>
    <w:rsid w:val="007478E2"/>
    <w:rsid w:val="00751F02"/>
    <w:rsid w:val="00754E5A"/>
    <w:rsid w:val="00755040"/>
    <w:rsid w:val="0075570A"/>
    <w:rsid w:val="00756272"/>
    <w:rsid w:val="00756C2E"/>
    <w:rsid w:val="00760BB5"/>
    <w:rsid w:val="0076213E"/>
    <w:rsid w:val="0076317E"/>
    <w:rsid w:val="00763259"/>
    <w:rsid w:val="00763395"/>
    <w:rsid w:val="007639B5"/>
    <w:rsid w:val="00766371"/>
    <w:rsid w:val="007664A9"/>
    <w:rsid w:val="00771E9D"/>
    <w:rsid w:val="00772B29"/>
    <w:rsid w:val="00774420"/>
    <w:rsid w:val="007747EE"/>
    <w:rsid w:val="0078009B"/>
    <w:rsid w:val="0078418C"/>
    <w:rsid w:val="007917B7"/>
    <w:rsid w:val="00793879"/>
    <w:rsid w:val="00794381"/>
    <w:rsid w:val="00796D99"/>
    <w:rsid w:val="0079730A"/>
    <w:rsid w:val="007A2337"/>
    <w:rsid w:val="007A2669"/>
    <w:rsid w:val="007A2E38"/>
    <w:rsid w:val="007A7033"/>
    <w:rsid w:val="007B362E"/>
    <w:rsid w:val="007B40D4"/>
    <w:rsid w:val="007B563A"/>
    <w:rsid w:val="007B6493"/>
    <w:rsid w:val="007C0221"/>
    <w:rsid w:val="007C12E8"/>
    <w:rsid w:val="007C1768"/>
    <w:rsid w:val="007C1895"/>
    <w:rsid w:val="007C1F7C"/>
    <w:rsid w:val="007D37CA"/>
    <w:rsid w:val="007D5325"/>
    <w:rsid w:val="007D71F2"/>
    <w:rsid w:val="007D7CAB"/>
    <w:rsid w:val="007E086D"/>
    <w:rsid w:val="007E2794"/>
    <w:rsid w:val="007E4AA6"/>
    <w:rsid w:val="007E4E27"/>
    <w:rsid w:val="007E5C29"/>
    <w:rsid w:val="007E6C5C"/>
    <w:rsid w:val="007F17B2"/>
    <w:rsid w:val="007F2097"/>
    <w:rsid w:val="007F3E90"/>
    <w:rsid w:val="007F43AF"/>
    <w:rsid w:val="00804A36"/>
    <w:rsid w:val="00805796"/>
    <w:rsid w:val="0081056E"/>
    <w:rsid w:val="00810853"/>
    <w:rsid w:val="00810914"/>
    <w:rsid w:val="00812529"/>
    <w:rsid w:val="008126CF"/>
    <w:rsid w:val="00813780"/>
    <w:rsid w:val="008165BE"/>
    <w:rsid w:val="00817C35"/>
    <w:rsid w:val="00820FFE"/>
    <w:rsid w:val="008247B2"/>
    <w:rsid w:val="00826132"/>
    <w:rsid w:val="00830866"/>
    <w:rsid w:val="008314C7"/>
    <w:rsid w:val="00832853"/>
    <w:rsid w:val="00833692"/>
    <w:rsid w:val="008339BA"/>
    <w:rsid w:val="00833AFF"/>
    <w:rsid w:val="00835E1B"/>
    <w:rsid w:val="008379D3"/>
    <w:rsid w:val="0084452D"/>
    <w:rsid w:val="00845261"/>
    <w:rsid w:val="0085084C"/>
    <w:rsid w:val="008527CD"/>
    <w:rsid w:val="00856290"/>
    <w:rsid w:val="00861728"/>
    <w:rsid w:val="008631C9"/>
    <w:rsid w:val="0086549E"/>
    <w:rsid w:val="00867C8E"/>
    <w:rsid w:val="008706B8"/>
    <w:rsid w:val="00870F51"/>
    <w:rsid w:val="00871559"/>
    <w:rsid w:val="00872A07"/>
    <w:rsid w:val="008813EA"/>
    <w:rsid w:val="008827BB"/>
    <w:rsid w:val="00882E50"/>
    <w:rsid w:val="008832D6"/>
    <w:rsid w:val="00883FE4"/>
    <w:rsid w:val="00886559"/>
    <w:rsid w:val="00887E1B"/>
    <w:rsid w:val="00891F09"/>
    <w:rsid w:val="008A0410"/>
    <w:rsid w:val="008A0974"/>
    <w:rsid w:val="008A2762"/>
    <w:rsid w:val="008A27B3"/>
    <w:rsid w:val="008A2E51"/>
    <w:rsid w:val="008B26B1"/>
    <w:rsid w:val="008B30BC"/>
    <w:rsid w:val="008B55D1"/>
    <w:rsid w:val="008B5A26"/>
    <w:rsid w:val="008B620E"/>
    <w:rsid w:val="008B721D"/>
    <w:rsid w:val="008B77C7"/>
    <w:rsid w:val="008B7AC8"/>
    <w:rsid w:val="008B7B45"/>
    <w:rsid w:val="008C4760"/>
    <w:rsid w:val="008C4CAE"/>
    <w:rsid w:val="008C53C8"/>
    <w:rsid w:val="008D00DC"/>
    <w:rsid w:val="008D27CB"/>
    <w:rsid w:val="008D30CF"/>
    <w:rsid w:val="008E1C49"/>
    <w:rsid w:val="008E23A8"/>
    <w:rsid w:val="008E6F6A"/>
    <w:rsid w:val="008F1502"/>
    <w:rsid w:val="008F568D"/>
    <w:rsid w:val="008F7FBC"/>
    <w:rsid w:val="009021FE"/>
    <w:rsid w:val="009022B0"/>
    <w:rsid w:val="00910281"/>
    <w:rsid w:val="0091121A"/>
    <w:rsid w:val="00913FBE"/>
    <w:rsid w:val="0091797C"/>
    <w:rsid w:val="00920F35"/>
    <w:rsid w:val="009218C6"/>
    <w:rsid w:val="00921E89"/>
    <w:rsid w:val="00923CFF"/>
    <w:rsid w:val="00924BFE"/>
    <w:rsid w:val="00927FC5"/>
    <w:rsid w:val="00930CBB"/>
    <w:rsid w:val="009326E6"/>
    <w:rsid w:val="00932919"/>
    <w:rsid w:val="009329D9"/>
    <w:rsid w:val="00932D5D"/>
    <w:rsid w:val="00932E6A"/>
    <w:rsid w:val="0093313B"/>
    <w:rsid w:val="00933289"/>
    <w:rsid w:val="00933561"/>
    <w:rsid w:val="00933DBF"/>
    <w:rsid w:val="00933F06"/>
    <w:rsid w:val="0094066F"/>
    <w:rsid w:val="0094405A"/>
    <w:rsid w:val="00945769"/>
    <w:rsid w:val="009462A1"/>
    <w:rsid w:val="0094779B"/>
    <w:rsid w:val="0095019F"/>
    <w:rsid w:val="00950396"/>
    <w:rsid w:val="009550D8"/>
    <w:rsid w:val="0095775C"/>
    <w:rsid w:val="009603D7"/>
    <w:rsid w:val="00960A04"/>
    <w:rsid w:val="00966374"/>
    <w:rsid w:val="009663FE"/>
    <w:rsid w:val="00966E44"/>
    <w:rsid w:val="00972442"/>
    <w:rsid w:val="009726B6"/>
    <w:rsid w:val="00973534"/>
    <w:rsid w:val="009739AD"/>
    <w:rsid w:val="0097422A"/>
    <w:rsid w:val="009743F6"/>
    <w:rsid w:val="00975891"/>
    <w:rsid w:val="0097707A"/>
    <w:rsid w:val="009770DB"/>
    <w:rsid w:val="00981B0A"/>
    <w:rsid w:val="009824E2"/>
    <w:rsid w:val="0098301F"/>
    <w:rsid w:val="009847BE"/>
    <w:rsid w:val="00985586"/>
    <w:rsid w:val="009919CA"/>
    <w:rsid w:val="00996F62"/>
    <w:rsid w:val="00996F9D"/>
    <w:rsid w:val="00997EEC"/>
    <w:rsid w:val="009A706C"/>
    <w:rsid w:val="009A730F"/>
    <w:rsid w:val="009B075C"/>
    <w:rsid w:val="009B248D"/>
    <w:rsid w:val="009B587B"/>
    <w:rsid w:val="009B5DF6"/>
    <w:rsid w:val="009B6E6B"/>
    <w:rsid w:val="009C12E2"/>
    <w:rsid w:val="009C12F0"/>
    <w:rsid w:val="009C34EB"/>
    <w:rsid w:val="009C5515"/>
    <w:rsid w:val="009D185F"/>
    <w:rsid w:val="009D3F01"/>
    <w:rsid w:val="009D6DC8"/>
    <w:rsid w:val="009E117A"/>
    <w:rsid w:val="009E3BDC"/>
    <w:rsid w:val="009E615A"/>
    <w:rsid w:val="009E7561"/>
    <w:rsid w:val="009F119F"/>
    <w:rsid w:val="009F5946"/>
    <w:rsid w:val="00A0119B"/>
    <w:rsid w:val="00A020C2"/>
    <w:rsid w:val="00A06745"/>
    <w:rsid w:val="00A06B56"/>
    <w:rsid w:val="00A118BF"/>
    <w:rsid w:val="00A11D39"/>
    <w:rsid w:val="00A207A3"/>
    <w:rsid w:val="00A209EB"/>
    <w:rsid w:val="00A2134B"/>
    <w:rsid w:val="00A22EF6"/>
    <w:rsid w:val="00A258CE"/>
    <w:rsid w:val="00A30132"/>
    <w:rsid w:val="00A30B40"/>
    <w:rsid w:val="00A328CB"/>
    <w:rsid w:val="00A34C2E"/>
    <w:rsid w:val="00A35E85"/>
    <w:rsid w:val="00A41668"/>
    <w:rsid w:val="00A41E56"/>
    <w:rsid w:val="00A42522"/>
    <w:rsid w:val="00A46FF9"/>
    <w:rsid w:val="00A474E0"/>
    <w:rsid w:val="00A477E6"/>
    <w:rsid w:val="00A500AB"/>
    <w:rsid w:val="00A54DA4"/>
    <w:rsid w:val="00A5558D"/>
    <w:rsid w:val="00A62EBC"/>
    <w:rsid w:val="00A63545"/>
    <w:rsid w:val="00A64DE8"/>
    <w:rsid w:val="00A65133"/>
    <w:rsid w:val="00A6604A"/>
    <w:rsid w:val="00A7208F"/>
    <w:rsid w:val="00A7284A"/>
    <w:rsid w:val="00A72AEE"/>
    <w:rsid w:val="00A73DDA"/>
    <w:rsid w:val="00A74D7A"/>
    <w:rsid w:val="00A76694"/>
    <w:rsid w:val="00A812BC"/>
    <w:rsid w:val="00A83611"/>
    <w:rsid w:val="00A8625F"/>
    <w:rsid w:val="00A87A94"/>
    <w:rsid w:val="00A93601"/>
    <w:rsid w:val="00A9498C"/>
    <w:rsid w:val="00A95140"/>
    <w:rsid w:val="00AA094C"/>
    <w:rsid w:val="00AA41EA"/>
    <w:rsid w:val="00AB28EE"/>
    <w:rsid w:val="00AB4BB0"/>
    <w:rsid w:val="00AC3323"/>
    <w:rsid w:val="00AC3342"/>
    <w:rsid w:val="00AC3973"/>
    <w:rsid w:val="00AC3D49"/>
    <w:rsid w:val="00AC5081"/>
    <w:rsid w:val="00AC59D9"/>
    <w:rsid w:val="00AD106A"/>
    <w:rsid w:val="00AD22CC"/>
    <w:rsid w:val="00AD3AA2"/>
    <w:rsid w:val="00AE29C8"/>
    <w:rsid w:val="00AE6709"/>
    <w:rsid w:val="00AF502E"/>
    <w:rsid w:val="00B00599"/>
    <w:rsid w:val="00B00814"/>
    <w:rsid w:val="00B05F83"/>
    <w:rsid w:val="00B06AC8"/>
    <w:rsid w:val="00B075CB"/>
    <w:rsid w:val="00B07BD2"/>
    <w:rsid w:val="00B07D2C"/>
    <w:rsid w:val="00B11B20"/>
    <w:rsid w:val="00B13EF9"/>
    <w:rsid w:val="00B146E2"/>
    <w:rsid w:val="00B1552B"/>
    <w:rsid w:val="00B168F5"/>
    <w:rsid w:val="00B178B4"/>
    <w:rsid w:val="00B17982"/>
    <w:rsid w:val="00B215EC"/>
    <w:rsid w:val="00B229CD"/>
    <w:rsid w:val="00B23E36"/>
    <w:rsid w:val="00B25551"/>
    <w:rsid w:val="00B26CC8"/>
    <w:rsid w:val="00B337E3"/>
    <w:rsid w:val="00B36A76"/>
    <w:rsid w:val="00B376D8"/>
    <w:rsid w:val="00B42DE5"/>
    <w:rsid w:val="00B44477"/>
    <w:rsid w:val="00B45E22"/>
    <w:rsid w:val="00B464DB"/>
    <w:rsid w:val="00B472C7"/>
    <w:rsid w:val="00B47A2F"/>
    <w:rsid w:val="00B603F4"/>
    <w:rsid w:val="00B616D4"/>
    <w:rsid w:val="00B62CB2"/>
    <w:rsid w:val="00B63933"/>
    <w:rsid w:val="00B666EF"/>
    <w:rsid w:val="00B73EF3"/>
    <w:rsid w:val="00B74236"/>
    <w:rsid w:val="00B7468B"/>
    <w:rsid w:val="00B82FF5"/>
    <w:rsid w:val="00B85006"/>
    <w:rsid w:val="00B90F82"/>
    <w:rsid w:val="00B94BEF"/>
    <w:rsid w:val="00B956F7"/>
    <w:rsid w:val="00BA3C58"/>
    <w:rsid w:val="00BA6E98"/>
    <w:rsid w:val="00BB685F"/>
    <w:rsid w:val="00BB77C8"/>
    <w:rsid w:val="00BC43CB"/>
    <w:rsid w:val="00BC7852"/>
    <w:rsid w:val="00BE04E7"/>
    <w:rsid w:val="00BE3122"/>
    <w:rsid w:val="00BE4789"/>
    <w:rsid w:val="00BE6C69"/>
    <w:rsid w:val="00BF2E05"/>
    <w:rsid w:val="00BF2E7E"/>
    <w:rsid w:val="00BF3547"/>
    <w:rsid w:val="00BF3D42"/>
    <w:rsid w:val="00BF57BB"/>
    <w:rsid w:val="00BF73B6"/>
    <w:rsid w:val="00C02B99"/>
    <w:rsid w:val="00C02DFE"/>
    <w:rsid w:val="00C02F8E"/>
    <w:rsid w:val="00C058EF"/>
    <w:rsid w:val="00C07181"/>
    <w:rsid w:val="00C07CA2"/>
    <w:rsid w:val="00C07CD0"/>
    <w:rsid w:val="00C124F0"/>
    <w:rsid w:val="00C164A7"/>
    <w:rsid w:val="00C16F96"/>
    <w:rsid w:val="00C17931"/>
    <w:rsid w:val="00C17C06"/>
    <w:rsid w:val="00C20DB7"/>
    <w:rsid w:val="00C2281A"/>
    <w:rsid w:val="00C24003"/>
    <w:rsid w:val="00C251F9"/>
    <w:rsid w:val="00C26726"/>
    <w:rsid w:val="00C303E6"/>
    <w:rsid w:val="00C33313"/>
    <w:rsid w:val="00C34838"/>
    <w:rsid w:val="00C35A16"/>
    <w:rsid w:val="00C35C0E"/>
    <w:rsid w:val="00C3720D"/>
    <w:rsid w:val="00C4095A"/>
    <w:rsid w:val="00C4431B"/>
    <w:rsid w:val="00C44FBF"/>
    <w:rsid w:val="00C45052"/>
    <w:rsid w:val="00C46096"/>
    <w:rsid w:val="00C47881"/>
    <w:rsid w:val="00C537F1"/>
    <w:rsid w:val="00C541F0"/>
    <w:rsid w:val="00C54D2B"/>
    <w:rsid w:val="00C56135"/>
    <w:rsid w:val="00C613F6"/>
    <w:rsid w:val="00C63A4B"/>
    <w:rsid w:val="00C7227C"/>
    <w:rsid w:val="00C72917"/>
    <w:rsid w:val="00C72FEF"/>
    <w:rsid w:val="00C743E4"/>
    <w:rsid w:val="00C7549A"/>
    <w:rsid w:val="00C76B09"/>
    <w:rsid w:val="00C76F89"/>
    <w:rsid w:val="00C7770D"/>
    <w:rsid w:val="00C81E72"/>
    <w:rsid w:val="00C85447"/>
    <w:rsid w:val="00C8579A"/>
    <w:rsid w:val="00C85E79"/>
    <w:rsid w:val="00C85EA6"/>
    <w:rsid w:val="00C86FAD"/>
    <w:rsid w:val="00C87CAD"/>
    <w:rsid w:val="00C9118E"/>
    <w:rsid w:val="00C9122A"/>
    <w:rsid w:val="00C91794"/>
    <w:rsid w:val="00C94E17"/>
    <w:rsid w:val="00C9565C"/>
    <w:rsid w:val="00CA185C"/>
    <w:rsid w:val="00CA3197"/>
    <w:rsid w:val="00CA413E"/>
    <w:rsid w:val="00CA594B"/>
    <w:rsid w:val="00CA6A4E"/>
    <w:rsid w:val="00CB05B2"/>
    <w:rsid w:val="00CB18E2"/>
    <w:rsid w:val="00CB2848"/>
    <w:rsid w:val="00CB2E3E"/>
    <w:rsid w:val="00CB3081"/>
    <w:rsid w:val="00CB3E76"/>
    <w:rsid w:val="00CB7944"/>
    <w:rsid w:val="00CC153B"/>
    <w:rsid w:val="00CC188E"/>
    <w:rsid w:val="00CC670B"/>
    <w:rsid w:val="00CC72E8"/>
    <w:rsid w:val="00CD02B3"/>
    <w:rsid w:val="00CD0353"/>
    <w:rsid w:val="00CD18E2"/>
    <w:rsid w:val="00CD2427"/>
    <w:rsid w:val="00CD3BFD"/>
    <w:rsid w:val="00CD4D67"/>
    <w:rsid w:val="00CD5BD6"/>
    <w:rsid w:val="00CE05DE"/>
    <w:rsid w:val="00CE07F4"/>
    <w:rsid w:val="00CE1CC4"/>
    <w:rsid w:val="00CE56DB"/>
    <w:rsid w:val="00CF0CBB"/>
    <w:rsid w:val="00CF1C22"/>
    <w:rsid w:val="00CF2898"/>
    <w:rsid w:val="00CF4151"/>
    <w:rsid w:val="00D00156"/>
    <w:rsid w:val="00D02913"/>
    <w:rsid w:val="00D055E5"/>
    <w:rsid w:val="00D06020"/>
    <w:rsid w:val="00D078C9"/>
    <w:rsid w:val="00D11548"/>
    <w:rsid w:val="00D13204"/>
    <w:rsid w:val="00D13D4B"/>
    <w:rsid w:val="00D15E77"/>
    <w:rsid w:val="00D2146E"/>
    <w:rsid w:val="00D2397A"/>
    <w:rsid w:val="00D24322"/>
    <w:rsid w:val="00D250BF"/>
    <w:rsid w:val="00D278DA"/>
    <w:rsid w:val="00D27B78"/>
    <w:rsid w:val="00D31251"/>
    <w:rsid w:val="00D313DB"/>
    <w:rsid w:val="00D32D37"/>
    <w:rsid w:val="00D34135"/>
    <w:rsid w:val="00D350FA"/>
    <w:rsid w:val="00D3628B"/>
    <w:rsid w:val="00D3725D"/>
    <w:rsid w:val="00D376D9"/>
    <w:rsid w:val="00D45111"/>
    <w:rsid w:val="00D47E4C"/>
    <w:rsid w:val="00D5049F"/>
    <w:rsid w:val="00D526DD"/>
    <w:rsid w:val="00D54CCF"/>
    <w:rsid w:val="00D5727D"/>
    <w:rsid w:val="00D5795F"/>
    <w:rsid w:val="00D619E3"/>
    <w:rsid w:val="00D65820"/>
    <w:rsid w:val="00D67ECA"/>
    <w:rsid w:val="00D72B0E"/>
    <w:rsid w:val="00D7458C"/>
    <w:rsid w:val="00D8010A"/>
    <w:rsid w:val="00D8031A"/>
    <w:rsid w:val="00D82725"/>
    <w:rsid w:val="00D82A4E"/>
    <w:rsid w:val="00D836EB"/>
    <w:rsid w:val="00D84831"/>
    <w:rsid w:val="00DA2688"/>
    <w:rsid w:val="00DA2C29"/>
    <w:rsid w:val="00DA7B37"/>
    <w:rsid w:val="00DB010B"/>
    <w:rsid w:val="00DB3A93"/>
    <w:rsid w:val="00DB577C"/>
    <w:rsid w:val="00DB7243"/>
    <w:rsid w:val="00DC20F8"/>
    <w:rsid w:val="00DC2B46"/>
    <w:rsid w:val="00DC556D"/>
    <w:rsid w:val="00DC5B2B"/>
    <w:rsid w:val="00DD5649"/>
    <w:rsid w:val="00DD64FD"/>
    <w:rsid w:val="00DD73F9"/>
    <w:rsid w:val="00DD7A56"/>
    <w:rsid w:val="00DD7C37"/>
    <w:rsid w:val="00DE1321"/>
    <w:rsid w:val="00DE2792"/>
    <w:rsid w:val="00DE3890"/>
    <w:rsid w:val="00DE3EFE"/>
    <w:rsid w:val="00DE4C12"/>
    <w:rsid w:val="00DE6E21"/>
    <w:rsid w:val="00DE7943"/>
    <w:rsid w:val="00DF2FDE"/>
    <w:rsid w:val="00DF394B"/>
    <w:rsid w:val="00DF790C"/>
    <w:rsid w:val="00E0020E"/>
    <w:rsid w:val="00E01438"/>
    <w:rsid w:val="00E02C54"/>
    <w:rsid w:val="00E04466"/>
    <w:rsid w:val="00E045EC"/>
    <w:rsid w:val="00E0482A"/>
    <w:rsid w:val="00E0621C"/>
    <w:rsid w:val="00E131A8"/>
    <w:rsid w:val="00E151B2"/>
    <w:rsid w:val="00E155D9"/>
    <w:rsid w:val="00E1759B"/>
    <w:rsid w:val="00E21AD3"/>
    <w:rsid w:val="00E23D16"/>
    <w:rsid w:val="00E26AB6"/>
    <w:rsid w:val="00E30B91"/>
    <w:rsid w:val="00E3207E"/>
    <w:rsid w:val="00E324E2"/>
    <w:rsid w:val="00E32E8A"/>
    <w:rsid w:val="00E33445"/>
    <w:rsid w:val="00E33699"/>
    <w:rsid w:val="00E34E50"/>
    <w:rsid w:val="00E35077"/>
    <w:rsid w:val="00E35594"/>
    <w:rsid w:val="00E36F43"/>
    <w:rsid w:val="00E45C4A"/>
    <w:rsid w:val="00E514E9"/>
    <w:rsid w:val="00E5172B"/>
    <w:rsid w:val="00E526A3"/>
    <w:rsid w:val="00E55EF6"/>
    <w:rsid w:val="00E621A7"/>
    <w:rsid w:val="00E63793"/>
    <w:rsid w:val="00E645B1"/>
    <w:rsid w:val="00E657CD"/>
    <w:rsid w:val="00E67558"/>
    <w:rsid w:val="00E67F3C"/>
    <w:rsid w:val="00E707F5"/>
    <w:rsid w:val="00E73575"/>
    <w:rsid w:val="00E74455"/>
    <w:rsid w:val="00E7600E"/>
    <w:rsid w:val="00E82E9B"/>
    <w:rsid w:val="00E83045"/>
    <w:rsid w:val="00E90402"/>
    <w:rsid w:val="00E922D0"/>
    <w:rsid w:val="00E92CF5"/>
    <w:rsid w:val="00E94606"/>
    <w:rsid w:val="00E94779"/>
    <w:rsid w:val="00E94CF0"/>
    <w:rsid w:val="00E94D6D"/>
    <w:rsid w:val="00E94FB3"/>
    <w:rsid w:val="00E95400"/>
    <w:rsid w:val="00E962AD"/>
    <w:rsid w:val="00EA2ABA"/>
    <w:rsid w:val="00EA2D4D"/>
    <w:rsid w:val="00EA4CD9"/>
    <w:rsid w:val="00EA51E0"/>
    <w:rsid w:val="00EA5D14"/>
    <w:rsid w:val="00EB393F"/>
    <w:rsid w:val="00EB67D0"/>
    <w:rsid w:val="00EB7799"/>
    <w:rsid w:val="00EC1CC8"/>
    <w:rsid w:val="00EC45A8"/>
    <w:rsid w:val="00ED07CB"/>
    <w:rsid w:val="00ED0B18"/>
    <w:rsid w:val="00ED248C"/>
    <w:rsid w:val="00EE182F"/>
    <w:rsid w:val="00EE2661"/>
    <w:rsid w:val="00EE31F4"/>
    <w:rsid w:val="00EE4D3F"/>
    <w:rsid w:val="00EF386B"/>
    <w:rsid w:val="00EF5527"/>
    <w:rsid w:val="00EF5EF1"/>
    <w:rsid w:val="00EF6ED4"/>
    <w:rsid w:val="00EF7E1B"/>
    <w:rsid w:val="00F0308F"/>
    <w:rsid w:val="00F03ECE"/>
    <w:rsid w:val="00F067FC"/>
    <w:rsid w:val="00F12241"/>
    <w:rsid w:val="00F13950"/>
    <w:rsid w:val="00F153D0"/>
    <w:rsid w:val="00F16D99"/>
    <w:rsid w:val="00F21A81"/>
    <w:rsid w:val="00F24FB9"/>
    <w:rsid w:val="00F257CC"/>
    <w:rsid w:val="00F26686"/>
    <w:rsid w:val="00F30C05"/>
    <w:rsid w:val="00F31087"/>
    <w:rsid w:val="00F34943"/>
    <w:rsid w:val="00F35710"/>
    <w:rsid w:val="00F36032"/>
    <w:rsid w:val="00F36B56"/>
    <w:rsid w:val="00F4082F"/>
    <w:rsid w:val="00F4189A"/>
    <w:rsid w:val="00F4577C"/>
    <w:rsid w:val="00F47B6A"/>
    <w:rsid w:val="00F55A91"/>
    <w:rsid w:val="00F563F0"/>
    <w:rsid w:val="00F56D80"/>
    <w:rsid w:val="00F631AA"/>
    <w:rsid w:val="00F64979"/>
    <w:rsid w:val="00F651B1"/>
    <w:rsid w:val="00F71314"/>
    <w:rsid w:val="00F7539F"/>
    <w:rsid w:val="00F75EF7"/>
    <w:rsid w:val="00F77A88"/>
    <w:rsid w:val="00F80622"/>
    <w:rsid w:val="00F80F92"/>
    <w:rsid w:val="00F82373"/>
    <w:rsid w:val="00F84836"/>
    <w:rsid w:val="00F85B18"/>
    <w:rsid w:val="00F86F33"/>
    <w:rsid w:val="00F90473"/>
    <w:rsid w:val="00F978FF"/>
    <w:rsid w:val="00F979E5"/>
    <w:rsid w:val="00FA1F39"/>
    <w:rsid w:val="00FA4F75"/>
    <w:rsid w:val="00FB0E7A"/>
    <w:rsid w:val="00FB13C0"/>
    <w:rsid w:val="00FB355A"/>
    <w:rsid w:val="00FB3A9B"/>
    <w:rsid w:val="00FB41BD"/>
    <w:rsid w:val="00FB4BEB"/>
    <w:rsid w:val="00FB524E"/>
    <w:rsid w:val="00FB61CA"/>
    <w:rsid w:val="00FB73C2"/>
    <w:rsid w:val="00FC38A6"/>
    <w:rsid w:val="00FC468A"/>
    <w:rsid w:val="00FC61E4"/>
    <w:rsid w:val="00FC6BBD"/>
    <w:rsid w:val="00FD070A"/>
    <w:rsid w:val="00FD0DF9"/>
    <w:rsid w:val="00FD18D0"/>
    <w:rsid w:val="00FD4119"/>
    <w:rsid w:val="00FD552B"/>
    <w:rsid w:val="00FD575B"/>
    <w:rsid w:val="00FD6CC4"/>
    <w:rsid w:val="00FD7675"/>
    <w:rsid w:val="00FD7D26"/>
    <w:rsid w:val="00FE1245"/>
    <w:rsid w:val="00FE3389"/>
    <w:rsid w:val="00FE3AD7"/>
    <w:rsid w:val="00FE3FE8"/>
    <w:rsid w:val="00FE5365"/>
    <w:rsid w:val="00FF10B7"/>
    <w:rsid w:val="00FF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CC"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rsid w:val="005A0FCC"/>
    <w:pPr>
      <w:keepNext/>
      <w:tabs>
        <w:tab w:val="left" w:pos="0"/>
        <w:tab w:val="num" w:pos="432"/>
      </w:tabs>
      <w:ind w:left="432" w:hanging="432"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5A0FCC"/>
    <w:pPr>
      <w:keepNext/>
      <w:tabs>
        <w:tab w:val="num" w:pos="576"/>
        <w:tab w:val="left" w:pos="1701"/>
      </w:tabs>
      <w:ind w:left="567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5A0FCC"/>
    <w:pPr>
      <w:keepNext/>
      <w:tabs>
        <w:tab w:val="left" w:pos="0"/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A0FCC"/>
    <w:pPr>
      <w:keepNext/>
      <w:tabs>
        <w:tab w:val="left" w:pos="0"/>
        <w:tab w:val="num" w:pos="864"/>
      </w:tabs>
      <w:ind w:left="864" w:hanging="864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A0FCC"/>
    <w:pPr>
      <w:keepNext/>
      <w:tabs>
        <w:tab w:val="left" w:pos="0"/>
        <w:tab w:val="num" w:pos="1008"/>
      </w:tabs>
      <w:ind w:left="1008" w:hanging="100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A0FCC"/>
    <w:pPr>
      <w:keepNext/>
      <w:widowControl w:val="0"/>
      <w:tabs>
        <w:tab w:val="left" w:pos="0"/>
        <w:tab w:val="num" w:pos="1152"/>
      </w:tabs>
      <w:ind w:left="1152" w:hanging="1152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5A0FCC"/>
    <w:pPr>
      <w:keepNext/>
      <w:tabs>
        <w:tab w:val="left" w:pos="0"/>
        <w:tab w:val="num" w:pos="1296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5A0FCC"/>
    <w:pPr>
      <w:keepNext/>
      <w:tabs>
        <w:tab w:val="left" w:pos="0"/>
        <w:tab w:val="num" w:pos="1440"/>
      </w:tabs>
      <w:ind w:left="1440" w:hanging="1440"/>
      <w:jc w:val="center"/>
      <w:outlineLvl w:val="7"/>
    </w:pPr>
    <w:rPr>
      <w:b/>
      <w:i/>
      <w:sz w:val="32"/>
    </w:rPr>
  </w:style>
  <w:style w:type="paragraph" w:styleId="Ttulo9">
    <w:name w:val="heading 9"/>
    <w:basedOn w:val="Normal"/>
    <w:next w:val="Normal"/>
    <w:qFormat/>
    <w:rsid w:val="005A0FCC"/>
    <w:pPr>
      <w:keepNext/>
      <w:tabs>
        <w:tab w:val="left" w:pos="0"/>
        <w:tab w:val="num" w:pos="1584"/>
      </w:tabs>
      <w:ind w:left="1584" w:hanging="1584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4">
    <w:name w:val="Fonte parág. padrão14"/>
    <w:rsid w:val="005A0FCC"/>
  </w:style>
  <w:style w:type="character" w:customStyle="1" w:styleId="Absatz-Standardschriftart">
    <w:name w:val="Absatz-Standardschriftart"/>
    <w:rsid w:val="005A0FCC"/>
  </w:style>
  <w:style w:type="character" w:customStyle="1" w:styleId="Fontepargpadro13">
    <w:name w:val="Fonte parág. padrão13"/>
    <w:rsid w:val="005A0FCC"/>
  </w:style>
  <w:style w:type="character" w:customStyle="1" w:styleId="WW-Absatz-Standardschriftart">
    <w:name w:val="WW-Absatz-Standardschriftart"/>
    <w:rsid w:val="005A0FCC"/>
  </w:style>
  <w:style w:type="character" w:customStyle="1" w:styleId="WW-Absatz-Standardschriftart1">
    <w:name w:val="WW-Absatz-Standardschriftart1"/>
    <w:rsid w:val="005A0FCC"/>
  </w:style>
  <w:style w:type="character" w:customStyle="1" w:styleId="WW-Absatz-Standardschriftart11">
    <w:name w:val="WW-Absatz-Standardschriftart11"/>
    <w:rsid w:val="005A0FCC"/>
  </w:style>
  <w:style w:type="character" w:customStyle="1" w:styleId="WW-Absatz-Standardschriftart111">
    <w:name w:val="WW-Absatz-Standardschriftart111"/>
    <w:rsid w:val="005A0FCC"/>
  </w:style>
  <w:style w:type="character" w:customStyle="1" w:styleId="WW-Absatz-Standardschriftart1111">
    <w:name w:val="WW-Absatz-Standardschriftart1111"/>
    <w:rsid w:val="005A0FCC"/>
  </w:style>
  <w:style w:type="character" w:customStyle="1" w:styleId="WW-Absatz-Standardschriftart11111">
    <w:name w:val="WW-Absatz-Standardschriftart11111"/>
    <w:rsid w:val="005A0FCC"/>
  </w:style>
  <w:style w:type="character" w:customStyle="1" w:styleId="WW-Absatz-Standardschriftart111111">
    <w:name w:val="WW-Absatz-Standardschriftart111111"/>
    <w:rsid w:val="005A0FCC"/>
  </w:style>
  <w:style w:type="character" w:customStyle="1" w:styleId="Fontepargpadro12">
    <w:name w:val="Fonte parág. padrão12"/>
    <w:rsid w:val="005A0FCC"/>
  </w:style>
  <w:style w:type="character" w:customStyle="1" w:styleId="WW-Absatz-Standardschriftart1111111">
    <w:name w:val="WW-Absatz-Standardschriftart1111111"/>
    <w:rsid w:val="005A0FCC"/>
  </w:style>
  <w:style w:type="character" w:customStyle="1" w:styleId="WW-Absatz-Standardschriftart11111111">
    <w:name w:val="WW-Absatz-Standardschriftart11111111"/>
    <w:rsid w:val="005A0FCC"/>
  </w:style>
  <w:style w:type="character" w:customStyle="1" w:styleId="WW-Absatz-Standardschriftart111111111">
    <w:name w:val="WW-Absatz-Standardschriftart111111111"/>
    <w:rsid w:val="005A0FCC"/>
  </w:style>
  <w:style w:type="character" w:customStyle="1" w:styleId="WW-Absatz-Standardschriftart1111111111">
    <w:name w:val="WW-Absatz-Standardschriftart1111111111"/>
    <w:rsid w:val="005A0FCC"/>
  </w:style>
  <w:style w:type="character" w:customStyle="1" w:styleId="WW-Absatz-Standardschriftart11111111111">
    <w:name w:val="WW-Absatz-Standardschriftart11111111111"/>
    <w:rsid w:val="005A0FCC"/>
  </w:style>
  <w:style w:type="character" w:customStyle="1" w:styleId="WW-Absatz-Standardschriftart111111111111">
    <w:name w:val="WW-Absatz-Standardschriftart111111111111"/>
    <w:rsid w:val="005A0FCC"/>
  </w:style>
  <w:style w:type="character" w:customStyle="1" w:styleId="Fontepargpadro11">
    <w:name w:val="Fonte parág. padrão11"/>
    <w:rsid w:val="005A0FCC"/>
  </w:style>
  <w:style w:type="character" w:customStyle="1" w:styleId="WW-Absatz-Standardschriftart1111111111111">
    <w:name w:val="WW-Absatz-Standardschriftart1111111111111"/>
    <w:rsid w:val="005A0FCC"/>
  </w:style>
  <w:style w:type="character" w:customStyle="1" w:styleId="WW-Absatz-Standardschriftart11111111111111">
    <w:name w:val="WW-Absatz-Standardschriftart11111111111111"/>
    <w:rsid w:val="005A0FCC"/>
  </w:style>
  <w:style w:type="character" w:customStyle="1" w:styleId="WW-Absatz-Standardschriftart111111111111111">
    <w:name w:val="WW-Absatz-Standardschriftart111111111111111"/>
    <w:rsid w:val="005A0FCC"/>
  </w:style>
  <w:style w:type="character" w:customStyle="1" w:styleId="WW-Absatz-Standardschriftart1111111111111111">
    <w:name w:val="WW-Absatz-Standardschriftart1111111111111111"/>
    <w:rsid w:val="005A0FCC"/>
  </w:style>
  <w:style w:type="character" w:customStyle="1" w:styleId="WW-Absatz-Standardschriftart11111111111111111">
    <w:name w:val="WW-Absatz-Standardschriftart11111111111111111"/>
    <w:rsid w:val="005A0FCC"/>
  </w:style>
  <w:style w:type="character" w:customStyle="1" w:styleId="WW8Num3z0">
    <w:name w:val="WW8Num3z0"/>
    <w:rsid w:val="005A0FCC"/>
    <w:rPr>
      <w:rFonts w:ascii="Times New Roman" w:eastAsia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5A0FCC"/>
  </w:style>
  <w:style w:type="character" w:customStyle="1" w:styleId="Fontepargpadro10">
    <w:name w:val="Fonte parág. padrão10"/>
    <w:rsid w:val="005A0FCC"/>
  </w:style>
  <w:style w:type="character" w:customStyle="1" w:styleId="WW-Absatz-Standardschriftart1111111111111111111">
    <w:name w:val="WW-Absatz-Standardschriftart1111111111111111111"/>
    <w:rsid w:val="005A0FCC"/>
  </w:style>
  <w:style w:type="character" w:customStyle="1" w:styleId="WW-Absatz-Standardschriftart11111111111111111111">
    <w:name w:val="WW-Absatz-Standardschriftart11111111111111111111"/>
    <w:rsid w:val="005A0FCC"/>
  </w:style>
  <w:style w:type="character" w:customStyle="1" w:styleId="WW-Absatz-Standardschriftart111111111111111111111">
    <w:name w:val="WW-Absatz-Standardschriftart111111111111111111111"/>
    <w:rsid w:val="005A0FCC"/>
  </w:style>
  <w:style w:type="character" w:customStyle="1" w:styleId="WW-Absatz-Standardschriftart1111111111111111111111">
    <w:name w:val="WW-Absatz-Standardschriftart1111111111111111111111"/>
    <w:rsid w:val="005A0FCC"/>
  </w:style>
  <w:style w:type="character" w:customStyle="1" w:styleId="WW-Absatz-Standardschriftart11111111111111111111111">
    <w:name w:val="WW-Absatz-Standardschriftart11111111111111111111111"/>
    <w:rsid w:val="005A0FCC"/>
  </w:style>
  <w:style w:type="character" w:customStyle="1" w:styleId="WW-Absatz-Standardschriftart111111111111111111111111">
    <w:name w:val="WW-Absatz-Standardschriftart111111111111111111111111"/>
    <w:rsid w:val="005A0FCC"/>
  </w:style>
  <w:style w:type="character" w:customStyle="1" w:styleId="WW-Absatz-Standardschriftart1111111111111111111111111">
    <w:name w:val="WW-Absatz-Standardschriftart1111111111111111111111111"/>
    <w:rsid w:val="005A0FCC"/>
  </w:style>
  <w:style w:type="character" w:customStyle="1" w:styleId="WW-Absatz-Standardschriftart11111111111111111111111111">
    <w:name w:val="WW-Absatz-Standardschriftart11111111111111111111111111"/>
    <w:rsid w:val="005A0FCC"/>
  </w:style>
  <w:style w:type="character" w:customStyle="1" w:styleId="WW8Num4z0">
    <w:name w:val="WW8Num4z0"/>
    <w:rsid w:val="005A0FCC"/>
    <w:rPr>
      <w:rFonts w:ascii="Symbol" w:hAnsi="Symbol"/>
    </w:rPr>
  </w:style>
  <w:style w:type="character" w:customStyle="1" w:styleId="WW8Num4z1">
    <w:name w:val="WW8Num4z1"/>
    <w:rsid w:val="005A0FCC"/>
    <w:rPr>
      <w:rFonts w:ascii="Courier New" w:hAnsi="Courier New"/>
    </w:rPr>
  </w:style>
  <w:style w:type="character" w:customStyle="1" w:styleId="WW8Num4z2">
    <w:name w:val="WW8Num4z2"/>
    <w:rsid w:val="005A0FCC"/>
    <w:rPr>
      <w:rFonts w:ascii="Wingdings" w:hAnsi="Wingdings"/>
    </w:rPr>
  </w:style>
  <w:style w:type="character" w:customStyle="1" w:styleId="Fontepargpadro9">
    <w:name w:val="Fonte parág. padrão9"/>
    <w:rsid w:val="005A0FCC"/>
  </w:style>
  <w:style w:type="character" w:customStyle="1" w:styleId="WW-Absatz-Standardschriftart111111111111111111111111111">
    <w:name w:val="WW-Absatz-Standardschriftart111111111111111111111111111"/>
    <w:rsid w:val="005A0FCC"/>
  </w:style>
  <w:style w:type="character" w:customStyle="1" w:styleId="WW-Absatz-Standardschriftart1111111111111111111111111111">
    <w:name w:val="WW-Absatz-Standardschriftart1111111111111111111111111111"/>
    <w:rsid w:val="005A0FCC"/>
  </w:style>
  <w:style w:type="character" w:customStyle="1" w:styleId="WW-Absatz-Standardschriftart11111111111111111111111111111">
    <w:name w:val="WW-Absatz-Standardschriftart11111111111111111111111111111"/>
    <w:rsid w:val="005A0FCC"/>
  </w:style>
  <w:style w:type="character" w:customStyle="1" w:styleId="WW-Absatz-Standardschriftart111111111111111111111111111111">
    <w:name w:val="WW-Absatz-Standardschriftart111111111111111111111111111111"/>
    <w:rsid w:val="005A0FCC"/>
  </w:style>
  <w:style w:type="character" w:customStyle="1" w:styleId="Fontepargpadro8">
    <w:name w:val="Fonte parág. padrão8"/>
    <w:rsid w:val="005A0FCC"/>
  </w:style>
  <w:style w:type="character" w:customStyle="1" w:styleId="Fontepargpadro7">
    <w:name w:val="Fonte parág. padrão7"/>
    <w:rsid w:val="005A0FCC"/>
  </w:style>
  <w:style w:type="character" w:customStyle="1" w:styleId="WW-Absatz-Standardschriftart1111111111111111111111111111111">
    <w:name w:val="WW-Absatz-Standardschriftart1111111111111111111111111111111"/>
    <w:rsid w:val="005A0FCC"/>
  </w:style>
  <w:style w:type="character" w:customStyle="1" w:styleId="WW-Absatz-Standardschriftart11111111111111111111111111111111">
    <w:name w:val="WW-Absatz-Standardschriftart11111111111111111111111111111111"/>
    <w:rsid w:val="005A0FCC"/>
  </w:style>
  <w:style w:type="character" w:customStyle="1" w:styleId="WW-Absatz-Standardschriftart111111111111111111111111111111111">
    <w:name w:val="WW-Absatz-Standardschriftart111111111111111111111111111111111"/>
    <w:rsid w:val="005A0FCC"/>
  </w:style>
  <w:style w:type="character" w:customStyle="1" w:styleId="WW-Absatz-Standardschriftart1111111111111111111111111111111111">
    <w:name w:val="WW-Absatz-Standardschriftart1111111111111111111111111111111111"/>
    <w:rsid w:val="005A0FCC"/>
  </w:style>
  <w:style w:type="character" w:customStyle="1" w:styleId="WW-Absatz-Standardschriftart11111111111111111111111111111111111">
    <w:name w:val="WW-Absatz-Standardschriftart11111111111111111111111111111111111"/>
    <w:rsid w:val="005A0FCC"/>
  </w:style>
  <w:style w:type="character" w:customStyle="1" w:styleId="WW-Absatz-Standardschriftart111111111111111111111111111111111111">
    <w:name w:val="WW-Absatz-Standardschriftart111111111111111111111111111111111111"/>
    <w:rsid w:val="005A0FCC"/>
  </w:style>
  <w:style w:type="character" w:customStyle="1" w:styleId="WW-Absatz-Standardschriftart1111111111111111111111111111111111111">
    <w:name w:val="WW-Absatz-Standardschriftart1111111111111111111111111111111111111"/>
    <w:rsid w:val="005A0FCC"/>
  </w:style>
  <w:style w:type="character" w:customStyle="1" w:styleId="WW-Absatz-Standardschriftart11111111111111111111111111111111111111">
    <w:name w:val="WW-Absatz-Standardschriftart11111111111111111111111111111111111111"/>
    <w:rsid w:val="005A0FCC"/>
  </w:style>
  <w:style w:type="character" w:customStyle="1" w:styleId="WW-Absatz-Standardschriftart111111111111111111111111111111111111111">
    <w:name w:val="WW-Absatz-Standardschriftart111111111111111111111111111111111111111"/>
    <w:rsid w:val="005A0FCC"/>
  </w:style>
  <w:style w:type="character" w:customStyle="1" w:styleId="WW-Absatz-Standardschriftart1111111111111111111111111111111111111111">
    <w:name w:val="WW-Absatz-Standardschriftart1111111111111111111111111111111111111111"/>
    <w:rsid w:val="005A0FCC"/>
  </w:style>
  <w:style w:type="character" w:customStyle="1" w:styleId="WW-Absatz-Standardschriftart11111111111111111111111111111111111111111">
    <w:name w:val="WW-Absatz-Standardschriftart11111111111111111111111111111111111111111"/>
    <w:rsid w:val="005A0FCC"/>
  </w:style>
  <w:style w:type="character" w:customStyle="1" w:styleId="WW-Absatz-Standardschriftart111111111111111111111111111111111111111111">
    <w:name w:val="WW-Absatz-Standardschriftart111111111111111111111111111111111111111111"/>
    <w:rsid w:val="005A0FCC"/>
  </w:style>
  <w:style w:type="character" w:customStyle="1" w:styleId="WW-Absatz-Standardschriftart1111111111111111111111111111111111111111111">
    <w:name w:val="WW-Absatz-Standardschriftart1111111111111111111111111111111111111111111"/>
    <w:rsid w:val="005A0FCC"/>
  </w:style>
  <w:style w:type="character" w:customStyle="1" w:styleId="WW-Absatz-Standardschriftart11111111111111111111111111111111111111111111">
    <w:name w:val="WW-Absatz-Standardschriftart11111111111111111111111111111111111111111111"/>
    <w:rsid w:val="005A0FCC"/>
  </w:style>
  <w:style w:type="character" w:customStyle="1" w:styleId="WW-Absatz-Standardschriftart111111111111111111111111111111111111111111111">
    <w:name w:val="WW-Absatz-Standardschriftart111111111111111111111111111111111111111111111"/>
    <w:rsid w:val="005A0FCC"/>
  </w:style>
  <w:style w:type="character" w:customStyle="1" w:styleId="WW-Absatz-Standardschriftart1111111111111111111111111111111111111111111111">
    <w:name w:val="WW-Absatz-Standardschriftart1111111111111111111111111111111111111111111111"/>
    <w:rsid w:val="005A0FCC"/>
  </w:style>
  <w:style w:type="character" w:customStyle="1" w:styleId="WW-Absatz-Standardschriftart11111111111111111111111111111111111111111111111">
    <w:name w:val="WW-Absatz-Standardschriftart11111111111111111111111111111111111111111111111"/>
    <w:rsid w:val="005A0FCC"/>
  </w:style>
  <w:style w:type="character" w:customStyle="1" w:styleId="WW-Absatz-Standardschriftart111111111111111111111111111111111111111111111111">
    <w:name w:val="WW-Absatz-Standardschriftart111111111111111111111111111111111111111111111111"/>
    <w:rsid w:val="005A0FCC"/>
  </w:style>
  <w:style w:type="character" w:customStyle="1" w:styleId="WW-Absatz-Standardschriftart1111111111111111111111111111111111111111111111111">
    <w:name w:val="WW-Absatz-Standardschriftart1111111111111111111111111111111111111111111111111"/>
    <w:rsid w:val="005A0F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A0F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A0F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A0F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A0FCC"/>
  </w:style>
  <w:style w:type="character" w:customStyle="1" w:styleId="Fontepargpadro6">
    <w:name w:val="Fonte parág. padrão6"/>
    <w:rsid w:val="005A0FCC"/>
  </w:style>
  <w:style w:type="character" w:customStyle="1" w:styleId="Fontepargpadro5">
    <w:name w:val="Fonte parág. padrão5"/>
    <w:rsid w:val="005A0F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A0FCC"/>
  </w:style>
  <w:style w:type="character" w:customStyle="1" w:styleId="Fontepargpadro4">
    <w:name w:val="Fonte parág. padrão4"/>
    <w:rsid w:val="005A0FCC"/>
  </w:style>
  <w:style w:type="character" w:customStyle="1" w:styleId="Fontepargpadro3">
    <w:name w:val="Fonte parág. padrão3"/>
    <w:rsid w:val="005A0F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A0F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A0FCC"/>
  </w:style>
  <w:style w:type="character" w:customStyle="1" w:styleId="Fontepargpadro2">
    <w:name w:val="Fonte parág. padrão2"/>
    <w:rsid w:val="005A0F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A0FC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A0F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A0F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A0FC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A0FC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A0FC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A0FC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A0FC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A0FC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A0FC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A0FC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A0FC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A0FC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A0FC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A0FC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A0FC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A0FC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A0FC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A0FC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A0FC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A0FC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A0FC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A0FCC"/>
  </w:style>
  <w:style w:type="character" w:customStyle="1" w:styleId="WW8Num2z0">
    <w:name w:val="WW8Num2z0"/>
    <w:rsid w:val="005A0FC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A0FCC"/>
    <w:rPr>
      <w:rFonts w:ascii="Courier New" w:hAnsi="Courier New"/>
    </w:rPr>
  </w:style>
  <w:style w:type="character" w:customStyle="1" w:styleId="WW8Num2z2">
    <w:name w:val="WW8Num2z2"/>
    <w:rsid w:val="005A0FCC"/>
    <w:rPr>
      <w:rFonts w:ascii="Wingdings" w:hAnsi="Wingdings"/>
    </w:rPr>
  </w:style>
  <w:style w:type="character" w:customStyle="1" w:styleId="WW8Num2z3">
    <w:name w:val="WW8Num2z3"/>
    <w:rsid w:val="005A0FCC"/>
    <w:rPr>
      <w:rFonts w:ascii="Symbol" w:hAnsi="Symbol"/>
    </w:rPr>
  </w:style>
  <w:style w:type="character" w:customStyle="1" w:styleId="WW8Num3z1">
    <w:name w:val="WW8Num3z1"/>
    <w:rsid w:val="005A0FCC"/>
    <w:rPr>
      <w:rFonts w:ascii="Courier New" w:hAnsi="Courier New"/>
    </w:rPr>
  </w:style>
  <w:style w:type="character" w:customStyle="1" w:styleId="WW8Num3z2">
    <w:name w:val="WW8Num3z2"/>
    <w:rsid w:val="005A0FCC"/>
    <w:rPr>
      <w:rFonts w:ascii="Wingdings" w:hAnsi="Wingdings"/>
    </w:rPr>
  </w:style>
  <w:style w:type="character" w:customStyle="1" w:styleId="WW8Num3z3">
    <w:name w:val="WW8Num3z3"/>
    <w:rsid w:val="005A0FCC"/>
    <w:rPr>
      <w:rFonts w:ascii="Symbol" w:hAnsi="Symbol"/>
    </w:rPr>
  </w:style>
  <w:style w:type="character" w:customStyle="1" w:styleId="WW8Num6z0">
    <w:name w:val="WW8Num6z0"/>
    <w:rsid w:val="005A0FCC"/>
    <w:rPr>
      <w:rFonts w:ascii="Symbol" w:hAnsi="Symbol"/>
    </w:rPr>
  </w:style>
  <w:style w:type="character" w:customStyle="1" w:styleId="WW8Num6z1">
    <w:name w:val="WW8Num6z1"/>
    <w:rsid w:val="005A0FCC"/>
    <w:rPr>
      <w:rFonts w:ascii="Courier New" w:hAnsi="Courier New"/>
    </w:rPr>
  </w:style>
  <w:style w:type="character" w:customStyle="1" w:styleId="WW8Num6z2">
    <w:name w:val="WW8Num6z2"/>
    <w:rsid w:val="005A0FCC"/>
    <w:rPr>
      <w:rFonts w:ascii="Wingdings" w:hAnsi="Wingdings"/>
    </w:rPr>
  </w:style>
  <w:style w:type="character" w:customStyle="1" w:styleId="WW8Num8z0">
    <w:name w:val="WW8Num8z0"/>
    <w:rsid w:val="005A0FCC"/>
    <w:rPr>
      <w:rFonts w:ascii="Symbol" w:hAnsi="Symbol"/>
    </w:rPr>
  </w:style>
  <w:style w:type="character" w:customStyle="1" w:styleId="WW8Num8z1">
    <w:name w:val="WW8Num8z1"/>
    <w:rsid w:val="005A0FCC"/>
    <w:rPr>
      <w:rFonts w:ascii="Courier New" w:hAnsi="Courier New"/>
    </w:rPr>
  </w:style>
  <w:style w:type="character" w:customStyle="1" w:styleId="WW8Num8z2">
    <w:name w:val="WW8Num8z2"/>
    <w:rsid w:val="005A0FCC"/>
    <w:rPr>
      <w:rFonts w:ascii="Wingdings" w:hAnsi="Wingdings"/>
    </w:rPr>
  </w:style>
  <w:style w:type="character" w:customStyle="1" w:styleId="WW8Num9z0">
    <w:name w:val="WW8Num9z0"/>
    <w:rsid w:val="005A0FCC"/>
    <w:rPr>
      <w:rFonts w:ascii="Symbol" w:hAnsi="Symbol"/>
    </w:rPr>
  </w:style>
  <w:style w:type="character" w:customStyle="1" w:styleId="WW8Num11z0">
    <w:name w:val="WW8Num11z0"/>
    <w:rsid w:val="005A0FCC"/>
    <w:rPr>
      <w:rFonts w:ascii="Symbol" w:hAnsi="Symbol"/>
    </w:rPr>
  </w:style>
  <w:style w:type="character" w:customStyle="1" w:styleId="WW8Num11z1">
    <w:name w:val="WW8Num11z1"/>
    <w:rsid w:val="005A0FCC"/>
    <w:rPr>
      <w:rFonts w:ascii="Courier New" w:hAnsi="Courier New"/>
    </w:rPr>
  </w:style>
  <w:style w:type="character" w:customStyle="1" w:styleId="WW8Num11z2">
    <w:name w:val="WW8Num11z2"/>
    <w:rsid w:val="005A0FCC"/>
    <w:rPr>
      <w:rFonts w:ascii="Wingdings" w:hAnsi="Wingdings"/>
    </w:rPr>
  </w:style>
  <w:style w:type="character" w:customStyle="1" w:styleId="WW8NumSt2z0">
    <w:name w:val="WW8NumSt2z0"/>
    <w:rsid w:val="005A0FCC"/>
    <w:rPr>
      <w:rFonts w:ascii="Symbol" w:hAnsi="Symbol"/>
    </w:rPr>
  </w:style>
  <w:style w:type="character" w:customStyle="1" w:styleId="Fontepargpadro1">
    <w:name w:val="Fonte parág. padrão1"/>
    <w:rsid w:val="005A0FCC"/>
  </w:style>
  <w:style w:type="character" w:styleId="Hyperlink">
    <w:name w:val="Hyperlink"/>
    <w:rsid w:val="005A0FCC"/>
    <w:rPr>
      <w:color w:val="0000FF"/>
      <w:u w:val="single"/>
    </w:rPr>
  </w:style>
  <w:style w:type="character" w:styleId="Nmerodepgina">
    <w:name w:val="page number"/>
    <w:basedOn w:val="Fontepargpadro1"/>
    <w:rsid w:val="005A0FCC"/>
  </w:style>
  <w:style w:type="character" w:customStyle="1" w:styleId="Marcadores">
    <w:name w:val="Marcadores"/>
    <w:rsid w:val="005A0FCC"/>
    <w:rPr>
      <w:rFonts w:ascii="StarSymbol" w:eastAsia="StarSymbol" w:hAnsi="StarSymbol" w:cs="StarSymbol"/>
      <w:sz w:val="18"/>
      <w:szCs w:val="18"/>
    </w:rPr>
  </w:style>
  <w:style w:type="character" w:customStyle="1" w:styleId="RodapChar">
    <w:name w:val="Rodapé Char"/>
    <w:rsid w:val="005A0FCC"/>
    <w:rPr>
      <w:kern w:val="1"/>
    </w:rPr>
  </w:style>
  <w:style w:type="paragraph" w:customStyle="1" w:styleId="Captulo">
    <w:name w:val="Capítulo"/>
    <w:basedOn w:val="Normal"/>
    <w:next w:val="Corpodetexto"/>
    <w:rsid w:val="005A0F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5A0FCC"/>
    <w:pPr>
      <w:jc w:val="both"/>
    </w:pPr>
    <w:rPr>
      <w:sz w:val="32"/>
    </w:rPr>
  </w:style>
  <w:style w:type="paragraph" w:styleId="Lista">
    <w:name w:val="List"/>
    <w:basedOn w:val="Corpodetexto"/>
    <w:rsid w:val="005A0FCC"/>
    <w:rPr>
      <w:rFonts w:cs="Tahoma"/>
    </w:rPr>
  </w:style>
  <w:style w:type="paragraph" w:customStyle="1" w:styleId="Legenda14">
    <w:name w:val="Legenda14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A0FCC"/>
    <w:pPr>
      <w:suppressLineNumbers/>
    </w:pPr>
    <w:rPr>
      <w:rFonts w:cs="Tahoma"/>
    </w:rPr>
  </w:style>
  <w:style w:type="paragraph" w:customStyle="1" w:styleId="Legenda13">
    <w:name w:val="Legenda13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5A0FC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2">
    <w:name w:val="Legenda12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1">
    <w:name w:val="Legenda11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Normal"/>
    <w:next w:val="Corpodetexto"/>
    <w:qFormat/>
    <w:rsid w:val="005A0FC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5A0FCC"/>
    <w:pPr>
      <w:jc w:val="center"/>
    </w:pPr>
    <w:rPr>
      <w:i/>
      <w:iCs/>
    </w:rPr>
  </w:style>
  <w:style w:type="paragraph" w:customStyle="1" w:styleId="Legenda10">
    <w:name w:val="Legenda10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9">
    <w:name w:val="Legenda9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8">
    <w:name w:val="Legenda8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7">
    <w:name w:val="Legenda7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rsid w:val="005A0F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"/>
    <w:rsid w:val="005A0F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FC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A0FCC"/>
    <w:pPr>
      <w:ind w:firstLine="2127"/>
      <w:jc w:val="both"/>
    </w:pPr>
    <w:rPr>
      <w:sz w:val="32"/>
    </w:rPr>
  </w:style>
  <w:style w:type="paragraph" w:customStyle="1" w:styleId="Recuodecorpodetexto31">
    <w:name w:val="Recuo de corpo de texto 31"/>
    <w:basedOn w:val="Normal"/>
    <w:rsid w:val="005A0FCC"/>
    <w:pPr>
      <w:ind w:firstLine="1701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5A0FCC"/>
    <w:pPr>
      <w:ind w:firstLine="1701"/>
      <w:jc w:val="both"/>
    </w:pPr>
    <w:rPr>
      <w:sz w:val="26"/>
    </w:rPr>
  </w:style>
  <w:style w:type="paragraph" w:customStyle="1" w:styleId="Corpodetexto21">
    <w:name w:val="Corpo de texto 21"/>
    <w:basedOn w:val="Normal"/>
    <w:rsid w:val="005A0FCC"/>
    <w:pPr>
      <w:spacing w:after="120" w:line="480" w:lineRule="auto"/>
    </w:pPr>
  </w:style>
  <w:style w:type="paragraph" w:styleId="Textodebalo">
    <w:name w:val="Balloon Text"/>
    <w:basedOn w:val="Normal"/>
    <w:rsid w:val="005A0FCC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5A0FCC"/>
  </w:style>
  <w:style w:type="paragraph" w:customStyle="1" w:styleId="WW-Recuodecorpodetexto2">
    <w:name w:val="WW-Recuo de corpo de texto 2"/>
    <w:basedOn w:val="Normal"/>
    <w:rsid w:val="005A0FCC"/>
    <w:pPr>
      <w:ind w:left="426" w:hanging="426"/>
    </w:pPr>
    <w:rPr>
      <w:sz w:val="24"/>
    </w:rPr>
  </w:style>
  <w:style w:type="paragraph" w:customStyle="1" w:styleId="WW-Corpodetexto2">
    <w:name w:val="WW-Corpo de texto 2"/>
    <w:basedOn w:val="Normal"/>
    <w:rsid w:val="005A0FCC"/>
    <w:rPr>
      <w:b/>
      <w:sz w:val="24"/>
    </w:rPr>
  </w:style>
  <w:style w:type="paragraph" w:customStyle="1" w:styleId="western">
    <w:name w:val="western"/>
    <w:basedOn w:val="Normal"/>
    <w:rsid w:val="005A0FCC"/>
    <w:pPr>
      <w:suppressAutoHyphens w:val="0"/>
      <w:spacing w:before="100" w:after="119"/>
    </w:pPr>
    <w:rPr>
      <w:sz w:val="24"/>
      <w:szCs w:val="24"/>
    </w:rPr>
  </w:style>
  <w:style w:type="paragraph" w:customStyle="1" w:styleId="WW-Recuodecorpodetexto3">
    <w:name w:val="WW-Recuo de corpo de texto 3"/>
    <w:basedOn w:val="Normal"/>
    <w:rsid w:val="005A0FCC"/>
    <w:pPr>
      <w:ind w:firstLine="2835"/>
      <w:jc w:val="both"/>
    </w:pPr>
  </w:style>
  <w:style w:type="paragraph" w:styleId="PargrafodaLista">
    <w:name w:val="List Paragraph"/>
    <w:basedOn w:val="Normal"/>
    <w:uiPriority w:val="34"/>
    <w:qFormat/>
    <w:rsid w:val="00E151B2"/>
    <w:pPr>
      <w:ind w:left="708"/>
    </w:pPr>
  </w:style>
  <w:style w:type="character" w:customStyle="1" w:styleId="CabealhoChar">
    <w:name w:val="Cabeçalho Char"/>
    <w:link w:val="Cabealho"/>
    <w:rsid w:val="00B63933"/>
    <w:rPr>
      <w:kern w:val="1"/>
      <w:lang w:eastAsia="ar-SA"/>
    </w:rPr>
  </w:style>
  <w:style w:type="paragraph" w:styleId="SemEspaamento">
    <w:name w:val="No Spacing"/>
    <w:uiPriority w:val="1"/>
    <w:qFormat/>
    <w:rsid w:val="00303FB9"/>
    <w:pPr>
      <w:suppressAutoHyphens/>
    </w:pPr>
    <w:rPr>
      <w:lang w:eastAsia="ar-SA"/>
    </w:rPr>
  </w:style>
  <w:style w:type="character" w:styleId="Refdenotaderodap">
    <w:name w:val="footnote reference"/>
    <w:rsid w:val="00303FB9"/>
    <w:rPr>
      <w:vertAlign w:val="superscript"/>
    </w:rPr>
  </w:style>
  <w:style w:type="table" w:styleId="Tabelacomgrade">
    <w:name w:val="Table Grid"/>
    <w:basedOn w:val="Tabelanormal"/>
    <w:uiPriority w:val="59"/>
    <w:rsid w:val="00CD4D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F9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onfi.tesouro.gov.br/siconfi/pages/public/arquivo/conteudo/Nota_Tecnica_SEI_n_21231_2020_ME_Atualizad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confi.tesouro.gov.br/siconfi/pages/public/arquivo/conteudo/Nota_Tecnica_SEI_n_21231_2020_ME_Atualizad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15A1-EF9B-4FD1-B725-BBC82145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2246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OF/SEFAZ/UCE-AC/Nº 010/98</vt:lpstr>
    </vt:vector>
  </TitlesOfParts>
  <Company>Particular</Company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OF/SEFAZ/UCE-AC/Nº 010/98</dc:title>
  <dc:creator>Uce - Ac</dc:creator>
  <cp:lastModifiedBy>elinemaria.silva</cp:lastModifiedBy>
  <cp:revision>2</cp:revision>
  <cp:lastPrinted>2021-01-26T21:23:00Z</cp:lastPrinted>
  <dcterms:created xsi:type="dcterms:W3CDTF">2021-01-27T16:38:00Z</dcterms:created>
  <dcterms:modified xsi:type="dcterms:W3CDTF">2021-01-27T16:38:00Z</dcterms:modified>
</cp:coreProperties>
</file>